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F2040" w14:textId="77777777" w:rsidR="00FF5F4B" w:rsidRDefault="00FF5F4B" w:rsidP="00FF5F4B">
      <w:pPr>
        <w:pStyle w:val="NormalWeb"/>
        <w:spacing w:before="0" w:beforeAutospacing="0" w:after="0" w:afterAutospacing="0"/>
        <w:ind w:left="142"/>
        <w:rPr>
          <w:rFonts w:ascii="Calibri" w:hAnsi="Calibri" w:cs="Calibri"/>
          <w:b/>
          <w:bCs/>
          <w:sz w:val="40"/>
          <w:szCs w:val="40"/>
        </w:rPr>
      </w:pPr>
    </w:p>
    <w:p w14:paraId="167F6175" w14:textId="4F8CD834" w:rsidR="00877FDA" w:rsidRDefault="00877FDA" w:rsidP="00FF5F4B">
      <w:pPr>
        <w:pStyle w:val="NormalWeb"/>
        <w:spacing w:before="0" w:beforeAutospacing="0" w:after="0" w:afterAutospacing="0"/>
        <w:ind w:left="142"/>
        <w:rPr>
          <w:rFonts w:ascii="Calibri" w:hAnsi="Calibri" w:cs="Calibri"/>
          <w:sz w:val="40"/>
          <w:szCs w:val="40"/>
        </w:rPr>
      </w:pPr>
      <w:r>
        <w:rPr>
          <w:rFonts w:ascii="Calibri" w:hAnsi="Calibri" w:cs="Calibri"/>
          <w:b/>
          <w:bCs/>
          <w:sz w:val="40"/>
          <w:szCs w:val="40"/>
        </w:rPr>
        <w:t>Personal Data Retention &amp; Destruction Policy</w:t>
      </w:r>
    </w:p>
    <w:p w14:paraId="37E45DF7" w14:textId="77777777" w:rsidR="000F7E31" w:rsidRPr="002B53C7" w:rsidRDefault="007962CB" w:rsidP="002B53C7">
      <w:pPr>
        <w:pStyle w:val="Heading1"/>
      </w:pPr>
      <w:r w:rsidRPr="002B53C7">
        <w:t>Introduction</w:t>
      </w:r>
    </w:p>
    <w:p w14:paraId="37E45DF8" w14:textId="77777777" w:rsidR="000F7E31" w:rsidRDefault="000F7E31">
      <w:pPr>
        <w:pStyle w:val="BodyText"/>
        <w:kinsoku w:val="0"/>
        <w:overflowPunct w:val="0"/>
        <w:spacing w:before="6"/>
        <w:ind w:left="0"/>
        <w:rPr>
          <w:b/>
          <w:bCs/>
          <w:sz w:val="21"/>
          <w:szCs w:val="21"/>
        </w:rPr>
      </w:pPr>
    </w:p>
    <w:p w14:paraId="37E45DF9" w14:textId="3CEDB24C" w:rsidR="000F7E31" w:rsidRDefault="007962CB" w:rsidP="002D25BE">
      <w:pPr>
        <w:pStyle w:val="BodyText"/>
        <w:kinsoku w:val="0"/>
        <w:overflowPunct w:val="0"/>
        <w:ind w:right="154"/>
        <w:jc w:val="both"/>
      </w:pPr>
      <w:r>
        <w:t xml:space="preserve">This personal data retention and </w:t>
      </w:r>
      <w:r w:rsidR="00283999">
        <w:t>destruction</w:t>
      </w:r>
      <w:r>
        <w:t xml:space="preserve"> policy (this “policy”) sets out the obligations of </w:t>
      </w:r>
      <w:r w:rsidR="002B53C7">
        <w:t>the British Society f</w:t>
      </w:r>
      <w:r w:rsidR="00B66F42">
        <w:t>or</w:t>
      </w:r>
      <w:r w:rsidR="002B53C7">
        <w:t xml:space="preserve"> Gynaecological Endoscopy</w:t>
      </w:r>
      <w:r>
        <w:t xml:space="preserve"> (“</w:t>
      </w:r>
      <w:r w:rsidR="002B53C7">
        <w:t>BGSE</w:t>
      </w:r>
      <w:r>
        <w:t xml:space="preserve">/we/us/our”) regarding the retention of personal data we collect, hold and process. The purpose of this policy sets out the basis and periods for which we will retain personal data and how we will dispose of personal data. This will ensure compliance with our legal obligations and effective data management. This procedure must be read together with the </w:t>
      </w:r>
      <w:r w:rsidR="002B53C7">
        <w:t>BGSE</w:t>
      </w:r>
      <w:r>
        <w:t xml:space="preserve"> </w:t>
      </w:r>
      <w:r w:rsidR="00773ADB">
        <w:t>‘</w:t>
      </w:r>
      <w:r>
        <w:t>Data Protection Policy</w:t>
      </w:r>
      <w:r w:rsidR="00773ADB">
        <w:t>’</w:t>
      </w:r>
      <w:r>
        <w:t xml:space="preserve"> </w:t>
      </w:r>
      <w:r w:rsidR="00773ADB">
        <w:t>and associated p</w:t>
      </w:r>
      <w:r>
        <w:t>rocedures.</w:t>
      </w:r>
    </w:p>
    <w:p w14:paraId="37E45DFA" w14:textId="77777777" w:rsidR="000F7E31" w:rsidRDefault="000F7E31" w:rsidP="002D25BE">
      <w:pPr>
        <w:pStyle w:val="BodyText"/>
        <w:kinsoku w:val="0"/>
        <w:overflowPunct w:val="0"/>
        <w:spacing w:before="1"/>
        <w:ind w:left="0"/>
        <w:jc w:val="both"/>
      </w:pPr>
    </w:p>
    <w:p w14:paraId="37E45DFB" w14:textId="0A5ABAC3" w:rsidR="000F7E31" w:rsidRDefault="007962CB" w:rsidP="002D25BE">
      <w:pPr>
        <w:pStyle w:val="BodyText"/>
        <w:kinsoku w:val="0"/>
        <w:overflowPunct w:val="0"/>
        <w:ind w:right="104"/>
        <w:jc w:val="both"/>
      </w:pPr>
      <w:r>
        <w:t xml:space="preserve">This policy applies to all personal data we get access to or receive from </w:t>
      </w:r>
      <w:r w:rsidR="00773ADB">
        <w:t>patients</w:t>
      </w:r>
      <w:r>
        <w:t xml:space="preserve">, employees, professional advisers, suppliers and others, whether held in electronic or physical records, processed by </w:t>
      </w:r>
      <w:r w:rsidR="002B53C7">
        <w:t>BGSE</w:t>
      </w:r>
      <w:r>
        <w:t xml:space="preserve"> or on behalf of </w:t>
      </w:r>
      <w:r w:rsidR="002B53C7">
        <w:t>BGSE</w:t>
      </w:r>
      <w:r>
        <w:t xml:space="preserve"> (such as personal data in </w:t>
      </w:r>
      <w:r w:rsidR="00CF1332">
        <w:t>BSGE Endometriosis database</w:t>
      </w:r>
      <w:r w:rsidR="00773ADB">
        <w:t xml:space="preserve"> and </w:t>
      </w:r>
      <w:r>
        <w:t>hosted or cloud systems). This includes personal data in structured records (such as databases), unstructured records (such as documents and spreadsheets), in emails, in audio and video recordings and includes personal data we generate (such as through access control systems and in personnel files) as well as personal data provided to</w:t>
      </w:r>
      <w:r>
        <w:rPr>
          <w:spacing w:val="-17"/>
        </w:rPr>
        <w:t xml:space="preserve"> </w:t>
      </w:r>
      <w:r>
        <w:t>us.</w:t>
      </w:r>
    </w:p>
    <w:p w14:paraId="37E45DFC" w14:textId="77777777" w:rsidR="000F7E31" w:rsidRDefault="000F7E31" w:rsidP="002D25BE">
      <w:pPr>
        <w:pStyle w:val="BodyText"/>
        <w:kinsoku w:val="0"/>
        <w:overflowPunct w:val="0"/>
        <w:ind w:left="0"/>
        <w:jc w:val="both"/>
      </w:pPr>
    </w:p>
    <w:p w14:paraId="37E45DFE" w14:textId="3647BBAC" w:rsidR="000F7E31" w:rsidRDefault="007962CB" w:rsidP="00280F4B">
      <w:pPr>
        <w:pStyle w:val="BodyText"/>
        <w:kinsoku w:val="0"/>
        <w:overflowPunct w:val="0"/>
        <w:ind w:right="154"/>
        <w:jc w:val="both"/>
      </w:pPr>
      <w:r>
        <w:t xml:space="preserve">The governing law and liabilities as stated in the </w:t>
      </w:r>
      <w:r w:rsidR="002B53C7">
        <w:t>BGSE</w:t>
      </w:r>
      <w:r>
        <w:t xml:space="preserve"> Data Protection Policy apply for this</w:t>
      </w:r>
      <w:r>
        <w:rPr>
          <w:spacing w:val="-29"/>
        </w:rPr>
        <w:t xml:space="preserve"> </w:t>
      </w:r>
      <w:r>
        <w:t>policy.</w:t>
      </w:r>
    </w:p>
    <w:p w14:paraId="37E45DFF" w14:textId="77777777" w:rsidR="000F7E31" w:rsidRDefault="000F7E31" w:rsidP="002D25BE">
      <w:pPr>
        <w:pStyle w:val="BodyText"/>
        <w:kinsoku w:val="0"/>
        <w:overflowPunct w:val="0"/>
        <w:spacing w:before="11"/>
        <w:ind w:left="0"/>
        <w:jc w:val="both"/>
        <w:rPr>
          <w:sz w:val="19"/>
          <w:szCs w:val="19"/>
        </w:rPr>
      </w:pPr>
    </w:p>
    <w:p w14:paraId="37E45E00" w14:textId="77777777" w:rsidR="000F7E31" w:rsidRDefault="007962CB" w:rsidP="002B53C7">
      <w:pPr>
        <w:pStyle w:val="Heading1"/>
        <w:rPr>
          <w:color w:val="000000"/>
        </w:rPr>
      </w:pPr>
      <w:r>
        <w:t>Definitions</w:t>
      </w:r>
    </w:p>
    <w:p w14:paraId="37E45E01" w14:textId="77777777" w:rsidR="000F7E31" w:rsidRDefault="000F7E31" w:rsidP="002D25BE">
      <w:pPr>
        <w:pStyle w:val="BodyText"/>
        <w:kinsoku w:val="0"/>
        <w:overflowPunct w:val="0"/>
        <w:spacing w:before="6"/>
        <w:ind w:left="0"/>
        <w:jc w:val="both"/>
        <w:rPr>
          <w:b/>
          <w:bCs/>
          <w:sz w:val="21"/>
          <w:szCs w:val="21"/>
        </w:rPr>
      </w:pPr>
    </w:p>
    <w:p w14:paraId="37E45E02" w14:textId="2E9C7845" w:rsidR="000F7E31" w:rsidRDefault="007962CB" w:rsidP="002D25BE">
      <w:pPr>
        <w:pStyle w:val="BodyText"/>
        <w:kinsoku w:val="0"/>
        <w:overflowPunct w:val="0"/>
        <w:ind w:right="154"/>
        <w:jc w:val="both"/>
      </w:pPr>
      <w:r>
        <w:t>The</w:t>
      </w:r>
      <w:r>
        <w:rPr>
          <w:spacing w:val="-2"/>
        </w:rPr>
        <w:t xml:space="preserve"> </w:t>
      </w:r>
      <w:r>
        <w:t>same</w:t>
      </w:r>
      <w:r>
        <w:rPr>
          <w:spacing w:val="-2"/>
        </w:rPr>
        <w:t xml:space="preserve"> </w:t>
      </w:r>
      <w:r>
        <w:t>definitions</w:t>
      </w:r>
      <w:r>
        <w:rPr>
          <w:spacing w:val="-5"/>
        </w:rPr>
        <w:t xml:space="preserve"> </w:t>
      </w:r>
      <w:r>
        <w:t>as</w:t>
      </w:r>
      <w:r>
        <w:rPr>
          <w:spacing w:val="-2"/>
        </w:rPr>
        <w:t xml:space="preserve"> </w:t>
      </w:r>
      <w:r>
        <w:t>stated</w:t>
      </w:r>
      <w:r>
        <w:rPr>
          <w:spacing w:val="-3"/>
        </w:rPr>
        <w:t xml:space="preserve"> </w:t>
      </w:r>
      <w:r>
        <w:t>in</w:t>
      </w:r>
      <w:r>
        <w:rPr>
          <w:spacing w:val="-3"/>
        </w:rPr>
        <w:t xml:space="preserve"> </w:t>
      </w:r>
      <w:r>
        <w:t>the</w:t>
      </w:r>
      <w:r>
        <w:rPr>
          <w:spacing w:val="-5"/>
        </w:rPr>
        <w:t xml:space="preserve"> </w:t>
      </w:r>
      <w:r w:rsidR="002B53C7">
        <w:t>BGSE</w:t>
      </w:r>
      <w:r>
        <w:rPr>
          <w:spacing w:val="-3"/>
        </w:rPr>
        <w:t xml:space="preserve"> </w:t>
      </w:r>
      <w:r>
        <w:t>Data</w:t>
      </w:r>
      <w:r>
        <w:rPr>
          <w:spacing w:val="-2"/>
        </w:rPr>
        <w:t xml:space="preserve"> </w:t>
      </w:r>
      <w:r>
        <w:t>Protection</w:t>
      </w:r>
      <w:r>
        <w:rPr>
          <w:spacing w:val="-3"/>
        </w:rPr>
        <w:t xml:space="preserve"> </w:t>
      </w:r>
      <w:r>
        <w:t>Policy</w:t>
      </w:r>
      <w:r>
        <w:rPr>
          <w:spacing w:val="-2"/>
        </w:rPr>
        <w:t xml:space="preserve"> </w:t>
      </w:r>
      <w:r>
        <w:t>apply</w:t>
      </w:r>
      <w:r>
        <w:rPr>
          <w:spacing w:val="-2"/>
        </w:rPr>
        <w:t xml:space="preserve"> </w:t>
      </w:r>
      <w:r>
        <w:t>for</w:t>
      </w:r>
      <w:r>
        <w:rPr>
          <w:spacing w:val="-2"/>
        </w:rPr>
        <w:t xml:space="preserve"> </w:t>
      </w:r>
      <w:r>
        <w:t>this</w:t>
      </w:r>
      <w:r>
        <w:rPr>
          <w:spacing w:val="-2"/>
        </w:rPr>
        <w:t xml:space="preserve"> </w:t>
      </w:r>
      <w:r>
        <w:t>policy.</w:t>
      </w:r>
    </w:p>
    <w:p w14:paraId="37E45E03" w14:textId="77777777" w:rsidR="000F7E31" w:rsidRDefault="000F7E31" w:rsidP="002D25BE">
      <w:pPr>
        <w:pStyle w:val="BodyText"/>
        <w:kinsoku w:val="0"/>
        <w:overflowPunct w:val="0"/>
        <w:spacing w:before="12"/>
        <w:ind w:left="0"/>
        <w:jc w:val="both"/>
        <w:rPr>
          <w:sz w:val="19"/>
          <w:szCs w:val="19"/>
        </w:rPr>
      </w:pPr>
    </w:p>
    <w:p w14:paraId="37E45E04" w14:textId="77777777" w:rsidR="000F7E31" w:rsidRDefault="007962CB" w:rsidP="002B53C7">
      <w:pPr>
        <w:pStyle w:val="Heading1"/>
        <w:rPr>
          <w:color w:val="000000"/>
        </w:rPr>
      </w:pPr>
      <w:r>
        <w:t>Responsibilities</w:t>
      </w:r>
    </w:p>
    <w:p w14:paraId="37E45E05" w14:textId="77777777" w:rsidR="000F7E31" w:rsidRDefault="000F7E31" w:rsidP="002D25BE">
      <w:pPr>
        <w:pStyle w:val="BodyText"/>
        <w:kinsoku w:val="0"/>
        <w:overflowPunct w:val="0"/>
        <w:spacing w:before="9"/>
        <w:ind w:left="0"/>
        <w:jc w:val="both"/>
        <w:rPr>
          <w:b/>
          <w:bCs/>
          <w:sz w:val="21"/>
          <w:szCs w:val="21"/>
        </w:rPr>
      </w:pPr>
    </w:p>
    <w:p w14:paraId="37E45E06" w14:textId="0742B412" w:rsidR="000F7E31" w:rsidRDefault="007962CB" w:rsidP="002D25BE">
      <w:pPr>
        <w:pStyle w:val="BodyText"/>
        <w:kinsoku w:val="0"/>
        <w:overflowPunct w:val="0"/>
        <w:ind w:right="154"/>
        <w:jc w:val="both"/>
      </w:pPr>
      <w:r>
        <w:t xml:space="preserve">The same responsibilities as stated in the </w:t>
      </w:r>
      <w:r w:rsidR="002B53C7">
        <w:t>BGSE</w:t>
      </w:r>
      <w:r>
        <w:t xml:space="preserve"> Data Protection Policy apply for this</w:t>
      </w:r>
      <w:r>
        <w:rPr>
          <w:spacing w:val="-33"/>
        </w:rPr>
        <w:t xml:space="preserve"> </w:t>
      </w:r>
      <w:r>
        <w:t>policy.</w:t>
      </w:r>
    </w:p>
    <w:p w14:paraId="37E45E07" w14:textId="77777777" w:rsidR="000F7E31" w:rsidRDefault="000F7E31" w:rsidP="002D25BE">
      <w:pPr>
        <w:pStyle w:val="BodyText"/>
        <w:kinsoku w:val="0"/>
        <w:overflowPunct w:val="0"/>
        <w:spacing w:before="11"/>
        <w:ind w:left="0"/>
        <w:jc w:val="both"/>
        <w:rPr>
          <w:sz w:val="19"/>
          <w:szCs w:val="19"/>
        </w:rPr>
      </w:pPr>
    </w:p>
    <w:p w14:paraId="37E45E08" w14:textId="77777777" w:rsidR="000F7E31" w:rsidRDefault="007962CB" w:rsidP="002B53C7">
      <w:pPr>
        <w:pStyle w:val="Heading1"/>
        <w:rPr>
          <w:color w:val="000000"/>
        </w:rPr>
      </w:pPr>
      <w:r>
        <w:t>Data Retention</w:t>
      </w:r>
      <w:r>
        <w:rPr>
          <w:spacing w:val="-11"/>
        </w:rPr>
        <w:t xml:space="preserve"> </w:t>
      </w:r>
      <w:r>
        <w:t>Principles</w:t>
      </w:r>
    </w:p>
    <w:p w14:paraId="37E45E09" w14:textId="77777777" w:rsidR="000F7E31" w:rsidRDefault="000F7E31" w:rsidP="002D25BE">
      <w:pPr>
        <w:pStyle w:val="BodyText"/>
        <w:kinsoku w:val="0"/>
        <w:overflowPunct w:val="0"/>
        <w:spacing w:before="9"/>
        <w:ind w:left="0"/>
        <w:jc w:val="both"/>
        <w:rPr>
          <w:b/>
          <w:bCs/>
          <w:sz w:val="21"/>
          <w:szCs w:val="21"/>
        </w:rPr>
      </w:pPr>
    </w:p>
    <w:p w14:paraId="37E45E0A" w14:textId="791AD575" w:rsidR="000F7E31" w:rsidRDefault="007962CB" w:rsidP="002D25BE">
      <w:pPr>
        <w:pStyle w:val="BodyText"/>
        <w:kinsoku w:val="0"/>
        <w:overflowPunct w:val="0"/>
        <w:ind w:right="154"/>
        <w:jc w:val="both"/>
      </w:pPr>
      <w:r>
        <w:t>The</w:t>
      </w:r>
      <w:r>
        <w:rPr>
          <w:spacing w:val="-2"/>
        </w:rPr>
        <w:t xml:space="preserve"> </w:t>
      </w:r>
      <w:r>
        <w:t>following</w:t>
      </w:r>
      <w:r>
        <w:rPr>
          <w:spacing w:val="-4"/>
        </w:rPr>
        <w:t xml:space="preserve"> </w:t>
      </w:r>
      <w:r>
        <w:t>data</w:t>
      </w:r>
      <w:r>
        <w:rPr>
          <w:spacing w:val="-2"/>
        </w:rPr>
        <w:t xml:space="preserve"> </w:t>
      </w:r>
      <w:r>
        <w:t>retention</w:t>
      </w:r>
      <w:r>
        <w:rPr>
          <w:spacing w:val="-3"/>
        </w:rPr>
        <w:t xml:space="preserve"> </w:t>
      </w:r>
      <w:r>
        <w:t>and</w:t>
      </w:r>
      <w:r>
        <w:rPr>
          <w:spacing w:val="-4"/>
        </w:rPr>
        <w:t xml:space="preserve"> </w:t>
      </w:r>
      <w:r w:rsidR="00283999">
        <w:t>destruction</w:t>
      </w:r>
      <w:r>
        <w:rPr>
          <w:spacing w:val="-2"/>
        </w:rPr>
        <w:t xml:space="preserve"> </w:t>
      </w:r>
      <w:r>
        <w:t>principles</w:t>
      </w:r>
      <w:r>
        <w:rPr>
          <w:spacing w:val="-5"/>
        </w:rPr>
        <w:t xml:space="preserve"> </w:t>
      </w:r>
      <w:r>
        <w:t>shall</w:t>
      </w:r>
      <w:r>
        <w:rPr>
          <w:spacing w:val="-3"/>
        </w:rPr>
        <w:t xml:space="preserve"> </w:t>
      </w:r>
      <w:r>
        <w:t>apply</w:t>
      </w:r>
      <w:r>
        <w:rPr>
          <w:spacing w:val="-2"/>
        </w:rPr>
        <w:t xml:space="preserve"> </w:t>
      </w:r>
      <w:r>
        <w:t>to</w:t>
      </w:r>
      <w:r>
        <w:rPr>
          <w:spacing w:val="-1"/>
        </w:rPr>
        <w:t xml:space="preserve"> </w:t>
      </w:r>
      <w:r>
        <w:t>all</w:t>
      </w:r>
      <w:r>
        <w:rPr>
          <w:spacing w:val="-2"/>
        </w:rPr>
        <w:t xml:space="preserve"> </w:t>
      </w:r>
      <w:r>
        <w:t>personal</w:t>
      </w:r>
      <w:r>
        <w:rPr>
          <w:spacing w:val="-5"/>
        </w:rPr>
        <w:t xml:space="preserve"> </w:t>
      </w:r>
      <w:r>
        <w:t>data</w:t>
      </w:r>
      <w:r>
        <w:rPr>
          <w:spacing w:val="-2"/>
        </w:rPr>
        <w:t xml:space="preserve"> </w:t>
      </w:r>
      <w:r>
        <w:t>processed</w:t>
      </w:r>
      <w:r>
        <w:rPr>
          <w:spacing w:val="-3"/>
        </w:rPr>
        <w:t xml:space="preserve"> </w:t>
      </w:r>
      <w:r>
        <w:t>by</w:t>
      </w:r>
      <w:r>
        <w:rPr>
          <w:spacing w:val="-2"/>
        </w:rPr>
        <w:t xml:space="preserve"> </w:t>
      </w:r>
      <w:r w:rsidR="002B53C7">
        <w:t>BGSE</w:t>
      </w:r>
      <w:r>
        <w:t>:</w:t>
      </w:r>
    </w:p>
    <w:p w14:paraId="37E45E0B" w14:textId="77777777" w:rsidR="000F7E31" w:rsidRDefault="000F7E31" w:rsidP="002D25BE">
      <w:pPr>
        <w:pStyle w:val="BodyText"/>
        <w:kinsoku w:val="0"/>
        <w:overflowPunct w:val="0"/>
        <w:spacing w:before="11"/>
        <w:ind w:left="0"/>
        <w:jc w:val="both"/>
        <w:rPr>
          <w:sz w:val="21"/>
          <w:szCs w:val="21"/>
        </w:rPr>
      </w:pPr>
    </w:p>
    <w:p w14:paraId="37E45E0C" w14:textId="77777777" w:rsidR="000F7E31" w:rsidRDefault="007962CB" w:rsidP="002D25BE">
      <w:pPr>
        <w:pStyle w:val="ListParagraph"/>
        <w:numPr>
          <w:ilvl w:val="1"/>
          <w:numId w:val="5"/>
        </w:numPr>
        <w:tabs>
          <w:tab w:val="left" w:pos="833"/>
        </w:tabs>
        <w:kinsoku w:val="0"/>
        <w:overflowPunct w:val="0"/>
        <w:spacing w:line="259" w:lineRule="auto"/>
        <w:ind w:right="100" w:hanging="355"/>
        <w:jc w:val="both"/>
        <w:rPr>
          <w:rFonts w:ascii="Calibri" w:hAnsi="Calibri" w:cs="Calibri"/>
          <w:sz w:val="22"/>
          <w:szCs w:val="22"/>
        </w:rPr>
      </w:pPr>
      <w:r>
        <w:rPr>
          <w:rFonts w:ascii="Calibri" w:hAnsi="Calibri" w:cs="Calibri"/>
          <w:sz w:val="22"/>
          <w:szCs w:val="22"/>
        </w:rPr>
        <w:t>Personal data shall not be retained for longer than is necessary for the purposes for which the personal data is</w:t>
      </w:r>
      <w:r>
        <w:rPr>
          <w:rFonts w:ascii="Calibri" w:hAnsi="Calibri" w:cs="Calibri"/>
          <w:spacing w:val="-7"/>
          <w:sz w:val="22"/>
          <w:szCs w:val="22"/>
        </w:rPr>
        <w:t xml:space="preserve"> </w:t>
      </w:r>
      <w:r>
        <w:rPr>
          <w:rFonts w:ascii="Calibri" w:hAnsi="Calibri" w:cs="Calibri"/>
          <w:sz w:val="22"/>
          <w:szCs w:val="22"/>
        </w:rPr>
        <w:t>processed.</w:t>
      </w:r>
    </w:p>
    <w:p w14:paraId="37E45E0D" w14:textId="77777777" w:rsidR="000F7E31" w:rsidRDefault="000F7E31" w:rsidP="002D25BE">
      <w:pPr>
        <w:pStyle w:val="BodyText"/>
        <w:kinsoku w:val="0"/>
        <w:overflowPunct w:val="0"/>
        <w:spacing w:before="1"/>
        <w:ind w:left="0"/>
        <w:jc w:val="both"/>
      </w:pPr>
    </w:p>
    <w:p w14:paraId="37E45E0E" w14:textId="77777777" w:rsidR="000F7E31" w:rsidRDefault="007962CB" w:rsidP="002D25BE">
      <w:pPr>
        <w:pStyle w:val="ListParagraph"/>
        <w:numPr>
          <w:ilvl w:val="1"/>
          <w:numId w:val="5"/>
        </w:numPr>
        <w:tabs>
          <w:tab w:val="left" w:pos="833"/>
        </w:tabs>
        <w:kinsoku w:val="0"/>
        <w:overflowPunct w:val="0"/>
        <w:spacing w:line="256" w:lineRule="auto"/>
        <w:ind w:right="105" w:hanging="355"/>
        <w:jc w:val="both"/>
        <w:rPr>
          <w:rFonts w:ascii="Calibri" w:hAnsi="Calibri" w:cs="Calibri"/>
          <w:sz w:val="22"/>
          <w:szCs w:val="22"/>
        </w:rPr>
      </w:pPr>
      <w:r>
        <w:rPr>
          <w:rFonts w:ascii="Calibri" w:hAnsi="Calibri" w:cs="Calibri"/>
          <w:sz w:val="22"/>
          <w:szCs w:val="22"/>
        </w:rPr>
        <w:t>Once personal data has reached the end of its life, the data or the record holding the data shall be securely disposed of in a manner that ensures it can no longer be</w:t>
      </w:r>
      <w:r>
        <w:rPr>
          <w:rFonts w:ascii="Calibri" w:hAnsi="Calibri" w:cs="Calibri"/>
          <w:spacing w:val="-17"/>
          <w:sz w:val="22"/>
          <w:szCs w:val="22"/>
        </w:rPr>
        <w:t xml:space="preserve"> </w:t>
      </w:r>
      <w:r>
        <w:rPr>
          <w:rFonts w:ascii="Calibri" w:hAnsi="Calibri" w:cs="Calibri"/>
          <w:sz w:val="22"/>
          <w:szCs w:val="22"/>
        </w:rPr>
        <w:t>used.</w:t>
      </w:r>
    </w:p>
    <w:p w14:paraId="408AEF96" w14:textId="2D1614C0" w:rsidR="00773ADB" w:rsidRDefault="00773ADB" w:rsidP="002D25BE">
      <w:pPr>
        <w:pStyle w:val="BodyText"/>
        <w:kinsoku w:val="0"/>
        <w:overflowPunct w:val="0"/>
        <w:spacing w:before="3"/>
        <w:ind w:left="0"/>
        <w:jc w:val="both"/>
      </w:pPr>
    </w:p>
    <w:p w14:paraId="0F1FD136" w14:textId="749FC3AF" w:rsidR="002D25BE" w:rsidRDefault="007962CB" w:rsidP="00773ADB">
      <w:pPr>
        <w:pStyle w:val="BodyText"/>
        <w:kinsoku w:val="0"/>
        <w:overflowPunct w:val="0"/>
        <w:ind w:right="262"/>
        <w:jc w:val="both"/>
      </w:pPr>
      <w:r>
        <w:t>Meeting these principles helps to ensure, that we manage risks to rights and freedoms of data subjects associated with processing their personal data, facilitate data subject rights, meet our legal obligations and improves the quality and efficiency of our data</w:t>
      </w:r>
      <w:r>
        <w:rPr>
          <w:spacing w:val="-18"/>
        </w:rPr>
        <w:t xml:space="preserve"> </w:t>
      </w:r>
      <w:r>
        <w:t>management.</w:t>
      </w:r>
    </w:p>
    <w:p w14:paraId="302311FA" w14:textId="4C7571F8" w:rsidR="00773ADB" w:rsidRDefault="00773ADB" w:rsidP="00773ADB">
      <w:pPr>
        <w:pStyle w:val="BodyText"/>
        <w:kinsoku w:val="0"/>
        <w:overflowPunct w:val="0"/>
        <w:ind w:right="262"/>
        <w:jc w:val="both"/>
      </w:pPr>
    </w:p>
    <w:p w14:paraId="50A2223E" w14:textId="77777777" w:rsidR="00773ADB" w:rsidRPr="00773ADB" w:rsidRDefault="00773ADB" w:rsidP="00773ADB">
      <w:pPr>
        <w:pStyle w:val="BodyText"/>
        <w:kinsoku w:val="0"/>
        <w:overflowPunct w:val="0"/>
        <w:ind w:right="262"/>
        <w:jc w:val="both"/>
      </w:pPr>
    </w:p>
    <w:p w14:paraId="37E45E12" w14:textId="170DFFEC" w:rsidR="000F7E31" w:rsidRDefault="007962CB" w:rsidP="002B53C7">
      <w:pPr>
        <w:pStyle w:val="Heading1"/>
        <w:rPr>
          <w:color w:val="000000"/>
        </w:rPr>
      </w:pPr>
      <w:r>
        <w:lastRenderedPageBreak/>
        <w:t>Data Retention</w:t>
      </w:r>
      <w:r>
        <w:rPr>
          <w:spacing w:val="-11"/>
        </w:rPr>
        <w:t xml:space="preserve"> </w:t>
      </w:r>
      <w:r>
        <w:t>Periods</w:t>
      </w:r>
    </w:p>
    <w:p w14:paraId="37E45E13" w14:textId="77777777" w:rsidR="000F7E31" w:rsidRDefault="000F7E31">
      <w:pPr>
        <w:pStyle w:val="BodyText"/>
        <w:kinsoku w:val="0"/>
        <w:overflowPunct w:val="0"/>
        <w:spacing w:before="6"/>
        <w:ind w:left="0"/>
        <w:rPr>
          <w:b/>
          <w:bCs/>
          <w:sz w:val="21"/>
          <w:szCs w:val="21"/>
        </w:rPr>
      </w:pPr>
    </w:p>
    <w:p w14:paraId="37E45E14" w14:textId="77777777" w:rsidR="000F7E31" w:rsidRDefault="007962CB">
      <w:pPr>
        <w:pStyle w:val="BodyText"/>
        <w:kinsoku w:val="0"/>
        <w:overflowPunct w:val="0"/>
        <w:ind w:right="154"/>
      </w:pPr>
      <w:r>
        <w:t>Personal data shall be retained for no less than the minimum retention periods and no longer than the maximum retention periods set out in the retention schedule at Schedule 1 (the “Retention</w:t>
      </w:r>
      <w:r>
        <w:rPr>
          <w:spacing w:val="-18"/>
        </w:rPr>
        <w:t xml:space="preserve"> </w:t>
      </w:r>
      <w:r>
        <w:t>Schedule”).</w:t>
      </w:r>
    </w:p>
    <w:p w14:paraId="37E45E17" w14:textId="77777777" w:rsidR="000F7E31" w:rsidRDefault="000F7E31" w:rsidP="002D25BE">
      <w:pPr>
        <w:pStyle w:val="BodyText"/>
        <w:kinsoku w:val="0"/>
        <w:overflowPunct w:val="0"/>
        <w:spacing w:before="8"/>
        <w:ind w:left="0"/>
        <w:jc w:val="both"/>
        <w:rPr>
          <w:sz w:val="19"/>
          <w:szCs w:val="19"/>
        </w:rPr>
      </w:pPr>
    </w:p>
    <w:p w14:paraId="37E45E18" w14:textId="49E7A2C9" w:rsidR="000F7E31" w:rsidRDefault="007962CB" w:rsidP="002D25BE">
      <w:pPr>
        <w:pStyle w:val="BodyText"/>
        <w:kinsoku w:val="0"/>
        <w:overflowPunct w:val="0"/>
        <w:spacing w:before="56"/>
        <w:ind w:right="119"/>
        <w:jc w:val="both"/>
      </w:pPr>
      <w:r>
        <w:t xml:space="preserve">In certain situations, personal data may be kept for longer than as set out in the Retention Schedule, </w:t>
      </w:r>
      <w:r w:rsidR="001E08F2">
        <w:t>but only</w:t>
      </w:r>
      <w:r>
        <w:t xml:space="preserve"> where the Data Protection Officer has given his approval and where </w:t>
      </w:r>
      <w:r w:rsidR="002B53C7">
        <w:t>BGSE</w:t>
      </w:r>
      <w:r>
        <w:t xml:space="preserve"> has reasonable grounds for retaining the personal data beyond the retention period. Examples include situations</w:t>
      </w:r>
      <w:r>
        <w:rPr>
          <w:spacing w:val="-32"/>
        </w:rPr>
        <w:t xml:space="preserve"> </w:t>
      </w:r>
      <w:r>
        <w:t>where:</w:t>
      </w:r>
    </w:p>
    <w:p w14:paraId="37E45E19" w14:textId="77777777" w:rsidR="000F7E31" w:rsidRDefault="007962CB" w:rsidP="002D25BE">
      <w:pPr>
        <w:pStyle w:val="ListParagraph"/>
        <w:numPr>
          <w:ilvl w:val="0"/>
          <w:numId w:val="4"/>
        </w:numPr>
        <w:tabs>
          <w:tab w:val="left" w:pos="972"/>
        </w:tabs>
        <w:kinsoku w:val="0"/>
        <w:overflowPunct w:val="0"/>
        <w:spacing w:before="120" w:line="259" w:lineRule="auto"/>
        <w:ind w:right="119"/>
        <w:jc w:val="both"/>
        <w:rPr>
          <w:rFonts w:ascii="Calibri" w:hAnsi="Calibri" w:cs="Calibri"/>
          <w:sz w:val="22"/>
          <w:szCs w:val="22"/>
        </w:rPr>
      </w:pPr>
      <w:r>
        <w:rPr>
          <w:rFonts w:ascii="Calibri" w:hAnsi="Calibri" w:cs="Calibri"/>
          <w:sz w:val="22"/>
          <w:szCs w:val="22"/>
        </w:rPr>
        <w:t>the personal data is required for the exercise or defence of legal claims, and appropriate technical and organisational measures have been applied to the continued retention of the personal data to protect the risks to rights and freedoms of data</w:t>
      </w:r>
      <w:r>
        <w:rPr>
          <w:rFonts w:ascii="Calibri" w:hAnsi="Calibri" w:cs="Calibri"/>
          <w:spacing w:val="-21"/>
          <w:sz w:val="22"/>
          <w:szCs w:val="22"/>
        </w:rPr>
        <w:t xml:space="preserve"> </w:t>
      </w:r>
      <w:r>
        <w:rPr>
          <w:rFonts w:ascii="Calibri" w:hAnsi="Calibri" w:cs="Calibri"/>
          <w:sz w:val="22"/>
          <w:szCs w:val="22"/>
        </w:rPr>
        <w:t>subjects;</w:t>
      </w:r>
    </w:p>
    <w:p w14:paraId="37E45E1A" w14:textId="411DBE96" w:rsidR="000F7E31" w:rsidRDefault="007962CB" w:rsidP="002D25BE">
      <w:pPr>
        <w:pStyle w:val="ListParagraph"/>
        <w:numPr>
          <w:ilvl w:val="0"/>
          <w:numId w:val="4"/>
        </w:numPr>
        <w:tabs>
          <w:tab w:val="left" w:pos="972"/>
        </w:tabs>
        <w:kinsoku w:val="0"/>
        <w:overflowPunct w:val="0"/>
        <w:spacing w:before="158" w:line="259" w:lineRule="auto"/>
        <w:ind w:right="118"/>
        <w:jc w:val="both"/>
        <w:rPr>
          <w:rFonts w:ascii="Calibri" w:hAnsi="Calibri" w:cs="Calibri"/>
          <w:sz w:val="22"/>
          <w:szCs w:val="22"/>
        </w:rPr>
      </w:pPr>
      <w:r>
        <w:rPr>
          <w:rFonts w:ascii="Calibri" w:hAnsi="Calibri" w:cs="Calibri"/>
          <w:sz w:val="22"/>
          <w:szCs w:val="22"/>
        </w:rPr>
        <w:t xml:space="preserve">the personal data is required by </w:t>
      </w:r>
      <w:r w:rsidR="002B53C7">
        <w:rPr>
          <w:rFonts w:ascii="Calibri" w:hAnsi="Calibri" w:cs="Calibri"/>
          <w:sz w:val="22"/>
          <w:szCs w:val="22"/>
        </w:rPr>
        <w:t>BGSE</w:t>
      </w:r>
      <w:r>
        <w:rPr>
          <w:rFonts w:ascii="Calibri" w:hAnsi="Calibri" w:cs="Calibri"/>
          <w:sz w:val="22"/>
          <w:szCs w:val="22"/>
        </w:rPr>
        <w:t xml:space="preserve"> for statistical purposes and appropriate safeguards (pursuant to Article 89(1) of the GDPR) have been applied to the processing for these purposes to protect the risks to rights and freedoms of data</w:t>
      </w:r>
      <w:r>
        <w:rPr>
          <w:rFonts w:ascii="Calibri" w:hAnsi="Calibri" w:cs="Calibri"/>
          <w:spacing w:val="-21"/>
          <w:sz w:val="22"/>
          <w:szCs w:val="22"/>
        </w:rPr>
        <w:t xml:space="preserve"> </w:t>
      </w:r>
      <w:r>
        <w:rPr>
          <w:rFonts w:ascii="Calibri" w:hAnsi="Calibri" w:cs="Calibri"/>
          <w:sz w:val="22"/>
          <w:szCs w:val="22"/>
        </w:rPr>
        <w:t>subjects;</w:t>
      </w:r>
    </w:p>
    <w:p w14:paraId="37E45E1B" w14:textId="77777777" w:rsidR="000F7E31" w:rsidRDefault="007962CB" w:rsidP="002D25BE">
      <w:pPr>
        <w:pStyle w:val="ListParagraph"/>
        <w:numPr>
          <w:ilvl w:val="0"/>
          <w:numId w:val="4"/>
        </w:numPr>
        <w:tabs>
          <w:tab w:val="left" w:pos="972"/>
        </w:tabs>
        <w:kinsoku w:val="0"/>
        <w:overflowPunct w:val="0"/>
        <w:spacing w:before="159" w:line="259" w:lineRule="auto"/>
        <w:ind w:right="119"/>
        <w:jc w:val="both"/>
        <w:rPr>
          <w:rFonts w:ascii="Calibri" w:hAnsi="Calibri" w:cs="Calibri"/>
          <w:sz w:val="22"/>
          <w:szCs w:val="22"/>
        </w:rPr>
      </w:pPr>
      <w:r>
        <w:rPr>
          <w:rFonts w:ascii="Calibri" w:hAnsi="Calibri" w:cs="Calibri"/>
          <w:sz w:val="22"/>
          <w:szCs w:val="22"/>
        </w:rPr>
        <w:t>the personal data has been fully and effectively anonymised and the Data Protection Officer is satisfied that data subjects cannot be identified from the anonymised</w:t>
      </w:r>
      <w:r>
        <w:rPr>
          <w:rFonts w:ascii="Calibri" w:hAnsi="Calibri" w:cs="Calibri"/>
          <w:spacing w:val="-28"/>
          <w:sz w:val="22"/>
          <w:szCs w:val="22"/>
        </w:rPr>
        <w:t xml:space="preserve"> </w:t>
      </w:r>
      <w:r>
        <w:rPr>
          <w:rFonts w:ascii="Calibri" w:hAnsi="Calibri" w:cs="Calibri"/>
          <w:sz w:val="22"/>
          <w:szCs w:val="22"/>
        </w:rPr>
        <w:t>data.</w:t>
      </w:r>
    </w:p>
    <w:p w14:paraId="37E45E1C" w14:textId="77777777" w:rsidR="000F7E31" w:rsidRDefault="000F7E31" w:rsidP="002D25BE">
      <w:pPr>
        <w:pStyle w:val="BodyText"/>
        <w:kinsoku w:val="0"/>
        <w:overflowPunct w:val="0"/>
        <w:spacing w:before="5"/>
        <w:ind w:left="0"/>
        <w:jc w:val="both"/>
        <w:rPr>
          <w:sz w:val="8"/>
          <w:szCs w:val="8"/>
        </w:rPr>
      </w:pPr>
    </w:p>
    <w:p w14:paraId="37E45E1D" w14:textId="192A1F2A" w:rsidR="000F7E31" w:rsidRDefault="007962CB" w:rsidP="002D25BE">
      <w:pPr>
        <w:pStyle w:val="BodyText"/>
        <w:kinsoku w:val="0"/>
        <w:overflowPunct w:val="0"/>
        <w:spacing w:before="56"/>
        <w:ind w:right="174"/>
        <w:jc w:val="both"/>
      </w:pPr>
      <w:r>
        <w:t>When establishing or reviewing personal data retention periods, the following shall be taken into</w:t>
      </w:r>
      <w:r>
        <w:rPr>
          <w:spacing w:val="-32"/>
        </w:rPr>
        <w:t xml:space="preserve"> </w:t>
      </w:r>
      <w:r w:rsidR="001E08F2">
        <w:rPr>
          <w:spacing w:val="-32"/>
        </w:rPr>
        <w:t xml:space="preserve"> </w:t>
      </w:r>
      <w:r>
        <w:t>account:</w:t>
      </w:r>
    </w:p>
    <w:p w14:paraId="37E45E1E" w14:textId="77777777" w:rsidR="000F7E31" w:rsidRDefault="000F7E31" w:rsidP="002D25BE">
      <w:pPr>
        <w:pStyle w:val="BodyText"/>
        <w:kinsoku w:val="0"/>
        <w:overflowPunct w:val="0"/>
        <w:spacing w:before="10"/>
        <w:ind w:left="0"/>
        <w:jc w:val="both"/>
        <w:rPr>
          <w:sz w:val="9"/>
          <w:szCs w:val="9"/>
        </w:rPr>
      </w:pPr>
    </w:p>
    <w:p w14:paraId="37E45E1F" w14:textId="77777777" w:rsidR="000F7E31" w:rsidRDefault="007962CB" w:rsidP="002D25BE">
      <w:pPr>
        <w:pStyle w:val="BodyText"/>
        <w:tabs>
          <w:tab w:val="left" w:pos="971"/>
        </w:tabs>
        <w:kinsoku w:val="0"/>
        <w:overflowPunct w:val="0"/>
        <w:spacing w:before="63"/>
        <w:ind w:left="402" w:right="174"/>
        <w:jc w:val="both"/>
        <w:rPr>
          <w:rFonts w:ascii="Verdana" w:hAnsi="Verdana" w:cs="Verdana"/>
          <w:sz w:val="20"/>
          <w:szCs w:val="20"/>
        </w:rPr>
      </w:pPr>
      <w:r>
        <w:rPr>
          <w:rFonts w:ascii="Verdana" w:hAnsi="Verdana" w:cs="Verdana"/>
          <w:w w:val="95"/>
          <w:sz w:val="20"/>
          <w:szCs w:val="20"/>
        </w:rPr>
        <w:t>a)</w:t>
      </w:r>
      <w:r>
        <w:rPr>
          <w:rFonts w:ascii="Verdana" w:hAnsi="Verdana" w:cs="Verdana"/>
          <w:w w:val="95"/>
          <w:sz w:val="20"/>
          <w:szCs w:val="20"/>
        </w:rPr>
        <w:tab/>
      </w:r>
      <w:r w:rsidRPr="001E08F2">
        <w:rPr>
          <w:rFonts w:asciiTheme="minorHAnsi" w:hAnsiTheme="minorHAnsi" w:cstheme="minorHAnsi"/>
        </w:rPr>
        <w:t>The purpose(s) for which the personal data is collected and</w:t>
      </w:r>
      <w:r w:rsidRPr="001E08F2">
        <w:rPr>
          <w:rFonts w:asciiTheme="minorHAnsi" w:hAnsiTheme="minorHAnsi" w:cstheme="minorHAnsi"/>
          <w:spacing w:val="-30"/>
        </w:rPr>
        <w:t xml:space="preserve"> </w:t>
      </w:r>
      <w:r w:rsidRPr="001E08F2">
        <w:rPr>
          <w:rFonts w:asciiTheme="minorHAnsi" w:hAnsiTheme="minorHAnsi" w:cstheme="minorHAnsi"/>
        </w:rPr>
        <w:t>processed;</w:t>
      </w:r>
    </w:p>
    <w:p w14:paraId="37E45E20" w14:textId="77777777" w:rsidR="000F7E31" w:rsidRDefault="000F7E31" w:rsidP="002D25BE">
      <w:pPr>
        <w:pStyle w:val="BodyText"/>
        <w:kinsoku w:val="0"/>
        <w:overflowPunct w:val="0"/>
        <w:ind w:left="0"/>
        <w:jc w:val="both"/>
        <w:rPr>
          <w:rFonts w:ascii="Verdana" w:hAnsi="Verdana" w:cs="Verdana"/>
          <w:sz w:val="10"/>
          <w:szCs w:val="10"/>
        </w:rPr>
      </w:pPr>
    </w:p>
    <w:p w14:paraId="37E45E21" w14:textId="77777777" w:rsidR="000F7E31" w:rsidRDefault="007962CB" w:rsidP="002D25BE">
      <w:pPr>
        <w:pStyle w:val="ListParagraph"/>
        <w:numPr>
          <w:ilvl w:val="0"/>
          <w:numId w:val="3"/>
        </w:numPr>
        <w:tabs>
          <w:tab w:val="left" w:pos="972"/>
        </w:tabs>
        <w:kinsoku w:val="0"/>
        <w:overflowPunct w:val="0"/>
        <w:spacing w:before="56"/>
        <w:jc w:val="both"/>
        <w:rPr>
          <w:rFonts w:ascii="Calibri" w:hAnsi="Calibri" w:cs="Calibri"/>
          <w:sz w:val="22"/>
          <w:szCs w:val="22"/>
        </w:rPr>
      </w:pPr>
      <w:r>
        <w:rPr>
          <w:rFonts w:ascii="Calibri" w:hAnsi="Calibri" w:cs="Calibri"/>
          <w:sz w:val="22"/>
          <w:szCs w:val="22"/>
        </w:rPr>
        <w:t>The lawful basis upon which the personal data is collected and</w:t>
      </w:r>
      <w:r>
        <w:rPr>
          <w:rFonts w:ascii="Calibri" w:hAnsi="Calibri" w:cs="Calibri"/>
          <w:spacing w:val="-24"/>
          <w:sz w:val="22"/>
          <w:szCs w:val="22"/>
        </w:rPr>
        <w:t xml:space="preserve"> </w:t>
      </w:r>
      <w:r>
        <w:rPr>
          <w:rFonts w:ascii="Calibri" w:hAnsi="Calibri" w:cs="Calibri"/>
          <w:sz w:val="22"/>
          <w:szCs w:val="22"/>
        </w:rPr>
        <w:t>processed;</w:t>
      </w:r>
    </w:p>
    <w:p w14:paraId="37E45E22" w14:textId="77777777" w:rsidR="000F7E31" w:rsidRDefault="000F7E31" w:rsidP="002D25BE">
      <w:pPr>
        <w:pStyle w:val="BodyText"/>
        <w:kinsoku w:val="0"/>
        <w:overflowPunct w:val="0"/>
        <w:spacing w:before="2"/>
        <w:ind w:left="0"/>
        <w:jc w:val="both"/>
        <w:rPr>
          <w:sz w:val="10"/>
          <w:szCs w:val="10"/>
        </w:rPr>
      </w:pPr>
    </w:p>
    <w:p w14:paraId="37E45E23" w14:textId="77777777" w:rsidR="000F7E31" w:rsidRDefault="007962CB" w:rsidP="002D25BE">
      <w:pPr>
        <w:pStyle w:val="ListParagraph"/>
        <w:numPr>
          <w:ilvl w:val="0"/>
          <w:numId w:val="3"/>
        </w:numPr>
        <w:tabs>
          <w:tab w:val="left" w:pos="972"/>
        </w:tabs>
        <w:kinsoku w:val="0"/>
        <w:overflowPunct w:val="0"/>
        <w:spacing w:before="56" w:line="259" w:lineRule="auto"/>
        <w:ind w:right="119"/>
        <w:jc w:val="both"/>
        <w:rPr>
          <w:rFonts w:ascii="Calibri" w:hAnsi="Calibri" w:cs="Calibri"/>
          <w:sz w:val="22"/>
          <w:szCs w:val="22"/>
        </w:rPr>
      </w:pPr>
      <w:r>
        <w:rPr>
          <w:rFonts w:ascii="Calibri" w:hAnsi="Calibri" w:cs="Calibri"/>
          <w:sz w:val="22"/>
          <w:szCs w:val="22"/>
        </w:rPr>
        <w:t>Whether the personal data is a special category personal data or relates to criminal convictions or offences;</w:t>
      </w:r>
    </w:p>
    <w:p w14:paraId="37E45E24" w14:textId="77777777" w:rsidR="000F7E31" w:rsidRDefault="007962CB" w:rsidP="002D25BE">
      <w:pPr>
        <w:pStyle w:val="ListParagraph"/>
        <w:numPr>
          <w:ilvl w:val="0"/>
          <w:numId w:val="3"/>
        </w:numPr>
        <w:tabs>
          <w:tab w:val="left" w:pos="972"/>
        </w:tabs>
        <w:kinsoku w:val="0"/>
        <w:overflowPunct w:val="0"/>
        <w:spacing w:before="158" w:line="259" w:lineRule="auto"/>
        <w:ind w:right="122"/>
        <w:jc w:val="both"/>
        <w:rPr>
          <w:rFonts w:ascii="Calibri" w:hAnsi="Calibri" w:cs="Calibri"/>
          <w:sz w:val="22"/>
          <w:szCs w:val="22"/>
        </w:rPr>
      </w:pPr>
      <w:r>
        <w:rPr>
          <w:rFonts w:ascii="Calibri" w:hAnsi="Calibri" w:cs="Calibri"/>
          <w:sz w:val="22"/>
          <w:szCs w:val="22"/>
        </w:rPr>
        <w:t>The risks to rights and freedoms of data subjects associated with collecting, holding and processing the personal</w:t>
      </w:r>
      <w:r>
        <w:rPr>
          <w:rFonts w:ascii="Calibri" w:hAnsi="Calibri" w:cs="Calibri"/>
          <w:spacing w:val="-4"/>
          <w:sz w:val="22"/>
          <w:szCs w:val="22"/>
        </w:rPr>
        <w:t xml:space="preserve"> </w:t>
      </w:r>
      <w:r>
        <w:rPr>
          <w:rFonts w:ascii="Calibri" w:hAnsi="Calibri" w:cs="Calibri"/>
          <w:sz w:val="22"/>
          <w:szCs w:val="22"/>
        </w:rPr>
        <w:t>data;</w:t>
      </w:r>
    </w:p>
    <w:p w14:paraId="37E45E25" w14:textId="0DB698AA" w:rsidR="000F7E31" w:rsidRDefault="002B53C7" w:rsidP="002D25BE">
      <w:pPr>
        <w:pStyle w:val="ListParagraph"/>
        <w:numPr>
          <w:ilvl w:val="0"/>
          <w:numId w:val="3"/>
        </w:numPr>
        <w:tabs>
          <w:tab w:val="left" w:pos="972"/>
        </w:tabs>
        <w:kinsoku w:val="0"/>
        <w:overflowPunct w:val="0"/>
        <w:spacing w:before="161"/>
        <w:jc w:val="both"/>
        <w:rPr>
          <w:rFonts w:ascii="Calibri" w:hAnsi="Calibri" w:cs="Calibri"/>
          <w:sz w:val="22"/>
          <w:szCs w:val="22"/>
        </w:rPr>
      </w:pPr>
      <w:r>
        <w:rPr>
          <w:rFonts w:ascii="Calibri" w:hAnsi="Calibri" w:cs="Calibri"/>
          <w:sz w:val="22"/>
          <w:szCs w:val="22"/>
        </w:rPr>
        <w:t>BGSE</w:t>
      </w:r>
      <w:r w:rsidR="007962CB">
        <w:rPr>
          <w:rFonts w:ascii="Calibri" w:hAnsi="Calibri" w:cs="Calibri"/>
          <w:sz w:val="22"/>
          <w:szCs w:val="22"/>
        </w:rPr>
        <w:t>’s legal or regulatory obligations to collect or retain the personal data in question;</w:t>
      </w:r>
      <w:r w:rsidR="007962CB">
        <w:rPr>
          <w:rFonts w:ascii="Calibri" w:hAnsi="Calibri" w:cs="Calibri"/>
          <w:spacing w:val="-19"/>
          <w:sz w:val="22"/>
          <w:szCs w:val="22"/>
        </w:rPr>
        <w:t xml:space="preserve"> </w:t>
      </w:r>
      <w:r w:rsidR="007962CB">
        <w:rPr>
          <w:rFonts w:ascii="Calibri" w:hAnsi="Calibri" w:cs="Calibri"/>
          <w:sz w:val="22"/>
          <w:szCs w:val="22"/>
        </w:rPr>
        <w:t>and</w:t>
      </w:r>
    </w:p>
    <w:p w14:paraId="37E45E26" w14:textId="77777777" w:rsidR="000F7E31" w:rsidRDefault="000F7E31" w:rsidP="002D25BE">
      <w:pPr>
        <w:pStyle w:val="BodyText"/>
        <w:kinsoku w:val="0"/>
        <w:overflowPunct w:val="0"/>
        <w:spacing w:before="2"/>
        <w:ind w:left="0"/>
        <w:jc w:val="both"/>
        <w:rPr>
          <w:sz w:val="10"/>
          <w:szCs w:val="10"/>
        </w:rPr>
      </w:pPr>
    </w:p>
    <w:p w14:paraId="37E45E27" w14:textId="1FB883A2" w:rsidR="000F7E31" w:rsidRDefault="002B53C7" w:rsidP="002D25BE">
      <w:pPr>
        <w:pStyle w:val="ListParagraph"/>
        <w:numPr>
          <w:ilvl w:val="0"/>
          <w:numId w:val="3"/>
        </w:numPr>
        <w:tabs>
          <w:tab w:val="left" w:pos="972"/>
        </w:tabs>
        <w:kinsoku w:val="0"/>
        <w:overflowPunct w:val="0"/>
        <w:spacing w:before="56"/>
        <w:jc w:val="both"/>
        <w:rPr>
          <w:rFonts w:ascii="Calibri" w:hAnsi="Calibri" w:cs="Calibri"/>
          <w:sz w:val="22"/>
          <w:szCs w:val="22"/>
        </w:rPr>
      </w:pPr>
      <w:r>
        <w:rPr>
          <w:rFonts w:ascii="Calibri" w:hAnsi="Calibri" w:cs="Calibri"/>
          <w:sz w:val="22"/>
          <w:szCs w:val="22"/>
        </w:rPr>
        <w:t>BGSE</w:t>
      </w:r>
      <w:r w:rsidR="007962CB">
        <w:rPr>
          <w:rFonts w:ascii="Calibri" w:hAnsi="Calibri" w:cs="Calibri"/>
          <w:sz w:val="22"/>
          <w:szCs w:val="22"/>
        </w:rPr>
        <w:t>’s objectives and requirements when collecting and processing the personal</w:t>
      </w:r>
      <w:r w:rsidR="007962CB">
        <w:rPr>
          <w:rFonts w:ascii="Calibri" w:hAnsi="Calibri" w:cs="Calibri"/>
          <w:spacing w:val="-21"/>
          <w:sz w:val="22"/>
          <w:szCs w:val="22"/>
        </w:rPr>
        <w:t xml:space="preserve"> </w:t>
      </w:r>
      <w:r w:rsidR="007962CB">
        <w:rPr>
          <w:rFonts w:ascii="Calibri" w:hAnsi="Calibri" w:cs="Calibri"/>
          <w:sz w:val="22"/>
          <w:szCs w:val="22"/>
        </w:rPr>
        <w:t>data</w:t>
      </w:r>
    </w:p>
    <w:p w14:paraId="37E45E28" w14:textId="77777777" w:rsidR="000F7E31" w:rsidRDefault="000F7E31" w:rsidP="002D25BE">
      <w:pPr>
        <w:pStyle w:val="BodyText"/>
        <w:kinsoku w:val="0"/>
        <w:overflowPunct w:val="0"/>
        <w:spacing w:before="1"/>
        <w:ind w:left="0"/>
        <w:jc w:val="both"/>
        <w:rPr>
          <w:sz w:val="18"/>
          <w:szCs w:val="18"/>
        </w:rPr>
      </w:pPr>
    </w:p>
    <w:p w14:paraId="37E45E29" w14:textId="2597D351" w:rsidR="000F7E31" w:rsidRDefault="007962CB" w:rsidP="002B53C7">
      <w:pPr>
        <w:pStyle w:val="Heading1"/>
        <w:rPr>
          <w:color w:val="000000"/>
        </w:rPr>
      </w:pPr>
      <w:r>
        <w:t>Data</w:t>
      </w:r>
      <w:r>
        <w:rPr>
          <w:spacing w:val="-7"/>
        </w:rPr>
        <w:t xml:space="preserve"> </w:t>
      </w:r>
      <w:r w:rsidR="00283999">
        <w:t>Destruction</w:t>
      </w:r>
    </w:p>
    <w:p w14:paraId="37E45E2A" w14:textId="77777777" w:rsidR="000F7E31" w:rsidRDefault="000F7E31" w:rsidP="002D25BE">
      <w:pPr>
        <w:pStyle w:val="BodyText"/>
        <w:kinsoku w:val="0"/>
        <w:overflowPunct w:val="0"/>
        <w:spacing w:before="6"/>
        <w:ind w:left="0"/>
        <w:jc w:val="both"/>
        <w:rPr>
          <w:b/>
          <w:bCs/>
          <w:sz w:val="21"/>
          <w:szCs w:val="21"/>
        </w:rPr>
      </w:pPr>
    </w:p>
    <w:p w14:paraId="37E45E2B" w14:textId="77777777" w:rsidR="000F7E31" w:rsidRDefault="007962CB" w:rsidP="002D25BE">
      <w:pPr>
        <w:pStyle w:val="BodyText"/>
        <w:kinsoku w:val="0"/>
        <w:overflowPunct w:val="0"/>
        <w:ind w:right="174"/>
        <w:jc w:val="both"/>
      </w:pPr>
      <w:r>
        <w:t>Personal data shall be disposed of in the following</w:t>
      </w:r>
      <w:r>
        <w:rPr>
          <w:spacing w:val="-22"/>
        </w:rPr>
        <w:t xml:space="preserve"> </w:t>
      </w:r>
      <w:r>
        <w:t>circumstances:</w:t>
      </w:r>
    </w:p>
    <w:p w14:paraId="37E45E2C" w14:textId="77777777" w:rsidR="000F7E31" w:rsidRDefault="000F7E31" w:rsidP="002D25BE">
      <w:pPr>
        <w:pStyle w:val="BodyText"/>
        <w:kinsoku w:val="0"/>
        <w:overflowPunct w:val="0"/>
        <w:spacing w:before="1"/>
        <w:ind w:left="0"/>
        <w:jc w:val="both"/>
        <w:rPr>
          <w:sz w:val="17"/>
          <w:szCs w:val="17"/>
        </w:rPr>
      </w:pPr>
    </w:p>
    <w:p w14:paraId="37E45E2D" w14:textId="77777777" w:rsidR="000F7E31" w:rsidRPr="001E08F2" w:rsidRDefault="007962CB" w:rsidP="002D25BE">
      <w:pPr>
        <w:pStyle w:val="BodyText"/>
        <w:tabs>
          <w:tab w:val="left" w:pos="971"/>
        </w:tabs>
        <w:kinsoku w:val="0"/>
        <w:overflowPunct w:val="0"/>
        <w:spacing w:before="63"/>
        <w:ind w:left="402" w:right="174"/>
        <w:jc w:val="both"/>
        <w:rPr>
          <w:rFonts w:asciiTheme="minorHAnsi" w:hAnsiTheme="minorHAnsi" w:cstheme="minorHAnsi"/>
        </w:rPr>
      </w:pPr>
      <w:r w:rsidRPr="001E08F2">
        <w:rPr>
          <w:rFonts w:asciiTheme="minorHAnsi" w:hAnsiTheme="minorHAnsi" w:cstheme="minorHAnsi"/>
          <w:w w:val="95"/>
        </w:rPr>
        <w:t>a)</w:t>
      </w:r>
      <w:r w:rsidRPr="001E08F2">
        <w:rPr>
          <w:rFonts w:asciiTheme="minorHAnsi" w:hAnsiTheme="minorHAnsi" w:cstheme="minorHAnsi"/>
          <w:w w:val="95"/>
        </w:rPr>
        <w:tab/>
      </w:r>
      <w:r w:rsidRPr="001E08F2">
        <w:rPr>
          <w:rFonts w:asciiTheme="minorHAnsi" w:hAnsiTheme="minorHAnsi" w:cstheme="minorHAnsi"/>
        </w:rPr>
        <w:t>On expiry of the retention period set out in the Retention</w:t>
      </w:r>
      <w:r w:rsidRPr="001E08F2">
        <w:rPr>
          <w:rFonts w:asciiTheme="minorHAnsi" w:hAnsiTheme="minorHAnsi" w:cstheme="minorHAnsi"/>
          <w:spacing w:val="-28"/>
        </w:rPr>
        <w:t xml:space="preserve"> </w:t>
      </w:r>
      <w:r w:rsidRPr="001E08F2">
        <w:rPr>
          <w:rFonts w:asciiTheme="minorHAnsi" w:hAnsiTheme="minorHAnsi" w:cstheme="minorHAnsi"/>
        </w:rPr>
        <w:t>Schedule;</w:t>
      </w:r>
    </w:p>
    <w:p w14:paraId="37E45E2E" w14:textId="77777777" w:rsidR="000F7E31" w:rsidRDefault="000F7E31" w:rsidP="002D25BE">
      <w:pPr>
        <w:pStyle w:val="BodyText"/>
        <w:kinsoku w:val="0"/>
        <w:overflowPunct w:val="0"/>
        <w:spacing w:before="8"/>
        <w:ind w:left="0"/>
        <w:jc w:val="both"/>
        <w:rPr>
          <w:rFonts w:ascii="Verdana" w:hAnsi="Verdana" w:cs="Verdana"/>
          <w:sz w:val="18"/>
          <w:szCs w:val="18"/>
        </w:rPr>
      </w:pPr>
    </w:p>
    <w:p w14:paraId="37E45E2F" w14:textId="526AF2FD" w:rsidR="000F7E31" w:rsidRDefault="007962CB" w:rsidP="002D25BE">
      <w:pPr>
        <w:pStyle w:val="ListParagraph"/>
        <w:numPr>
          <w:ilvl w:val="0"/>
          <w:numId w:val="2"/>
        </w:numPr>
        <w:tabs>
          <w:tab w:val="left" w:pos="972"/>
        </w:tabs>
        <w:kinsoku w:val="0"/>
        <w:overflowPunct w:val="0"/>
        <w:spacing w:before="56" w:line="259" w:lineRule="auto"/>
        <w:ind w:right="116"/>
        <w:jc w:val="both"/>
        <w:rPr>
          <w:rFonts w:ascii="Calibri" w:hAnsi="Calibri" w:cs="Calibri"/>
          <w:sz w:val="22"/>
          <w:szCs w:val="22"/>
        </w:rPr>
      </w:pPr>
      <w:r>
        <w:rPr>
          <w:rFonts w:ascii="Calibri" w:hAnsi="Calibri" w:cs="Calibri"/>
          <w:sz w:val="22"/>
          <w:szCs w:val="22"/>
        </w:rPr>
        <w:t xml:space="preserve">In response to a request from a data subject to erase their personal data where the </w:t>
      </w:r>
      <w:r w:rsidR="002B53C7">
        <w:rPr>
          <w:rFonts w:ascii="Calibri" w:hAnsi="Calibri" w:cs="Calibri"/>
          <w:sz w:val="22"/>
          <w:szCs w:val="22"/>
        </w:rPr>
        <w:t>BGSE</w:t>
      </w:r>
      <w:r>
        <w:rPr>
          <w:rFonts w:ascii="Calibri" w:hAnsi="Calibri" w:cs="Calibri"/>
          <w:sz w:val="22"/>
          <w:szCs w:val="22"/>
        </w:rPr>
        <w:t xml:space="preserve"> Subject Rights Procedure has been followed and the Data Protection Officer has confirmed the personal data should be</w:t>
      </w:r>
      <w:r>
        <w:rPr>
          <w:rFonts w:ascii="Calibri" w:hAnsi="Calibri" w:cs="Calibri"/>
          <w:spacing w:val="-6"/>
          <w:sz w:val="22"/>
          <w:szCs w:val="22"/>
        </w:rPr>
        <w:t xml:space="preserve"> </w:t>
      </w:r>
      <w:r>
        <w:rPr>
          <w:rFonts w:ascii="Calibri" w:hAnsi="Calibri" w:cs="Calibri"/>
          <w:sz w:val="22"/>
          <w:szCs w:val="22"/>
        </w:rPr>
        <w:t>destroyed;</w:t>
      </w:r>
    </w:p>
    <w:p w14:paraId="37E45E30" w14:textId="77777777" w:rsidR="000F7E31" w:rsidRDefault="000F7E31" w:rsidP="002D25BE">
      <w:pPr>
        <w:pStyle w:val="BodyText"/>
        <w:kinsoku w:val="0"/>
        <w:overflowPunct w:val="0"/>
        <w:spacing w:before="1"/>
        <w:ind w:left="0"/>
        <w:jc w:val="both"/>
      </w:pPr>
    </w:p>
    <w:p w14:paraId="37E45E31" w14:textId="59A1DD33" w:rsidR="000F7E31" w:rsidRDefault="007962CB" w:rsidP="002D25BE">
      <w:pPr>
        <w:pStyle w:val="ListParagraph"/>
        <w:numPr>
          <w:ilvl w:val="0"/>
          <w:numId w:val="2"/>
        </w:numPr>
        <w:tabs>
          <w:tab w:val="left" w:pos="972"/>
        </w:tabs>
        <w:kinsoku w:val="0"/>
        <w:overflowPunct w:val="0"/>
        <w:spacing w:line="259" w:lineRule="auto"/>
        <w:ind w:right="113"/>
        <w:jc w:val="both"/>
        <w:rPr>
          <w:rFonts w:ascii="Calibri" w:hAnsi="Calibri" w:cs="Calibri"/>
          <w:sz w:val="22"/>
          <w:szCs w:val="22"/>
        </w:rPr>
      </w:pPr>
      <w:r>
        <w:rPr>
          <w:rFonts w:ascii="Calibri" w:hAnsi="Calibri" w:cs="Calibri"/>
          <w:sz w:val="22"/>
          <w:szCs w:val="22"/>
        </w:rPr>
        <w:t xml:space="preserve">At the discretion of a </w:t>
      </w:r>
      <w:r w:rsidR="002B53C7" w:rsidRPr="000C5FCA">
        <w:rPr>
          <w:rFonts w:ascii="Calibri" w:hAnsi="Calibri" w:cs="Calibri"/>
          <w:sz w:val="22"/>
          <w:szCs w:val="22"/>
          <w:highlight w:val="yellow"/>
        </w:rPr>
        <w:t>BGSE</w:t>
      </w:r>
      <w:r w:rsidRPr="000C5FCA">
        <w:rPr>
          <w:rFonts w:ascii="Calibri" w:hAnsi="Calibri" w:cs="Calibri"/>
          <w:sz w:val="22"/>
          <w:szCs w:val="22"/>
          <w:highlight w:val="yellow"/>
        </w:rPr>
        <w:t xml:space="preserve"> </w:t>
      </w:r>
      <w:r w:rsidR="00E63072" w:rsidRPr="00E63072">
        <w:rPr>
          <w:rFonts w:ascii="Calibri" w:hAnsi="Calibri" w:cs="Calibri"/>
          <w:sz w:val="22"/>
          <w:szCs w:val="22"/>
          <w:highlight w:val="yellow"/>
        </w:rPr>
        <w:t>Council Board</w:t>
      </w:r>
      <w:r>
        <w:rPr>
          <w:rFonts w:ascii="Calibri" w:hAnsi="Calibri" w:cs="Calibri"/>
          <w:sz w:val="22"/>
          <w:szCs w:val="22"/>
        </w:rPr>
        <w:t xml:space="preserve"> where retention of the personal data is no longer necessary for the purpose of the processing prior to the expiry of the relevant retention period and the Data Protection Officer has confirmed the personal data should be</w:t>
      </w:r>
      <w:r>
        <w:rPr>
          <w:rFonts w:ascii="Calibri" w:hAnsi="Calibri" w:cs="Calibri"/>
          <w:spacing w:val="-25"/>
          <w:sz w:val="22"/>
          <w:szCs w:val="22"/>
        </w:rPr>
        <w:t xml:space="preserve"> </w:t>
      </w:r>
      <w:r>
        <w:rPr>
          <w:rFonts w:ascii="Calibri" w:hAnsi="Calibri" w:cs="Calibri"/>
          <w:sz w:val="22"/>
          <w:szCs w:val="22"/>
        </w:rPr>
        <w:t>destroyed.</w:t>
      </w:r>
    </w:p>
    <w:p w14:paraId="37E45E32" w14:textId="77777777" w:rsidR="000F7E31" w:rsidRDefault="000F7E31" w:rsidP="002D25BE">
      <w:pPr>
        <w:pStyle w:val="BodyText"/>
        <w:kinsoku w:val="0"/>
        <w:overflowPunct w:val="0"/>
        <w:spacing w:before="7"/>
        <w:ind w:left="0"/>
        <w:jc w:val="both"/>
        <w:rPr>
          <w:sz w:val="8"/>
          <w:szCs w:val="8"/>
        </w:rPr>
      </w:pPr>
    </w:p>
    <w:p w14:paraId="37E45E33" w14:textId="00C7810E" w:rsidR="000F7E31" w:rsidRDefault="007962CB" w:rsidP="002D25BE">
      <w:pPr>
        <w:pStyle w:val="BodyText"/>
        <w:kinsoku w:val="0"/>
        <w:overflowPunct w:val="0"/>
        <w:spacing w:before="56"/>
        <w:ind w:right="174"/>
        <w:jc w:val="both"/>
      </w:pPr>
      <w:r>
        <w:lastRenderedPageBreak/>
        <w:t xml:space="preserve">Where personal data is erased at the request of a data subject, </w:t>
      </w:r>
      <w:r w:rsidR="002B53C7">
        <w:t>BGSE</w:t>
      </w:r>
      <w:r>
        <w:t xml:space="preserve"> may retain such limited personal data as is reasonably necessary to keep a record of the erasure for the purposes of demonstrating compliance and enforcing erasure across all business systems, provided appropriate technical and organisational measures have been applied to the retained data in order to protect the risks to rights and freedoms of the data</w:t>
      </w:r>
      <w:r>
        <w:rPr>
          <w:spacing w:val="-1"/>
        </w:rPr>
        <w:t xml:space="preserve"> </w:t>
      </w:r>
      <w:r>
        <w:t>subject.</w:t>
      </w:r>
    </w:p>
    <w:p w14:paraId="66FBF64E" w14:textId="6B24EC5E" w:rsidR="002D25BE" w:rsidRDefault="002D25BE" w:rsidP="002D25BE">
      <w:pPr>
        <w:pStyle w:val="BodyText"/>
        <w:kinsoku w:val="0"/>
        <w:overflowPunct w:val="0"/>
        <w:spacing w:before="56"/>
        <w:ind w:right="174"/>
        <w:jc w:val="both"/>
      </w:pPr>
    </w:p>
    <w:p w14:paraId="37E45E37" w14:textId="1DD63A9B" w:rsidR="000F7E31" w:rsidRPr="001E08F2" w:rsidRDefault="007962CB" w:rsidP="002D25BE">
      <w:pPr>
        <w:pStyle w:val="BodyText"/>
        <w:kinsoku w:val="0"/>
        <w:overflowPunct w:val="0"/>
        <w:spacing w:before="63" w:line="256" w:lineRule="auto"/>
        <w:ind w:right="174"/>
        <w:jc w:val="both"/>
        <w:rPr>
          <w:rFonts w:asciiTheme="minorHAnsi" w:hAnsiTheme="minorHAnsi" w:cstheme="minorHAnsi"/>
        </w:rPr>
      </w:pPr>
      <w:r w:rsidRPr="001E08F2">
        <w:rPr>
          <w:rFonts w:asciiTheme="minorHAnsi" w:hAnsiTheme="minorHAnsi" w:cstheme="minorHAnsi"/>
        </w:rPr>
        <w:t>Personal data is to be erased, destroyed or otherwise disposed of in a secure manner as follows:</w:t>
      </w:r>
    </w:p>
    <w:p w14:paraId="37E45E38" w14:textId="77777777" w:rsidR="000F7E31" w:rsidRPr="001E08F2" w:rsidRDefault="000F7E31" w:rsidP="002D25BE">
      <w:pPr>
        <w:pStyle w:val="BodyText"/>
        <w:kinsoku w:val="0"/>
        <w:overflowPunct w:val="0"/>
        <w:spacing w:before="10"/>
        <w:ind w:left="0"/>
        <w:jc w:val="both"/>
        <w:rPr>
          <w:rFonts w:asciiTheme="minorHAnsi" w:hAnsiTheme="minorHAnsi" w:cstheme="minorHAnsi"/>
          <w:sz w:val="16"/>
          <w:szCs w:val="16"/>
        </w:rPr>
      </w:pPr>
    </w:p>
    <w:p w14:paraId="37E45E39" w14:textId="77777777" w:rsidR="000F7E31" w:rsidRPr="001E08F2" w:rsidRDefault="007962CB" w:rsidP="002D25BE">
      <w:pPr>
        <w:pStyle w:val="BodyText"/>
        <w:tabs>
          <w:tab w:val="left" w:pos="971"/>
        </w:tabs>
        <w:kinsoku w:val="0"/>
        <w:overflowPunct w:val="0"/>
        <w:spacing w:before="63"/>
        <w:ind w:left="402" w:right="174"/>
        <w:jc w:val="both"/>
        <w:rPr>
          <w:rFonts w:asciiTheme="minorHAnsi" w:hAnsiTheme="minorHAnsi" w:cstheme="minorHAnsi"/>
        </w:rPr>
      </w:pPr>
      <w:r w:rsidRPr="001E08F2">
        <w:rPr>
          <w:rFonts w:asciiTheme="minorHAnsi" w:hAnsiTheme="minorHAnsi" w:cstheme="minorHAnsi"/>
          <w:w w:val="95"/>
        </w:rPr>
        <w:t>a)</w:t>
      </w:r>
      <w:r w:rsidRPr="001E08F2">
        <w:rPr>
          <w:rFonts w:asciiTheme="minorHAnsi" w:hAnsiTheme="minorHAnsi" w:cstheme="minorHAnsi"/>
          <w:w w:val="95"/>
        </w:rPr>
        <w:tab/>
      </w:r>
      <w:r w:rsidRPr="001E08F2">
        <w:rPr>
          <w:rFonts w:asciiTheme="minorHAnsi" w:hAnsiTheme="minorHAnsi" w:cstheme="minorHAnsi"/>
        </w:rPr>
        <w:t>personal data held in electronic records (including</w:t>
      </w:r>
      <w:r w:rsidRPr="001E08F2">
        <w:rPr>
          <w:rFonts w:asciiTheme="minorHAnsi" w:hAnsiTheme="minorHAnsi" w:cstheme="minorHAnsi"/>
          <w:spacing w:val="-20"/>
        </w:rPr>
        <w:t xml:space="preserve"> </w:t>
      </w:r>
      <w:r w:rsidRPr="001E08F2">
        <w:rPr>
          <w:rFonts w:asciiTheme="minorHAnsi" w:hAnsiTheme="minorHAnsi" w:cstheme="minorHAnsi"/>
        </w:rPr>
        <w:t>back-ups);</w:t>
      </w:r>
    </w:p>
    <w:p w14:paraId="37E45E3A" w14:textId="77777777" w:rsidR="000F7E31" w:rsidRDefault="000F7E31" w:rsidP="002D25BE">
      <w:pPr>
        <w:pStyle w:val="BodyText"/>
        <w:kinsoku w:val="0"/>
        <w:overflowPunct w:val="0"/>
        <w:ind w:left="0"/>
        <w:jc w:val="both"/>
        <w:rPr>
          <w:rFonts w:ascii="Verdana" w:hAnsi="Verdana" w:cs="Verdana"/>
          <w:sz w:val="10"/>
          <w:szCs w:val="10"/>
        </w:rPr>
      </w:pPr>
    </w:p>
    <w:p w14:paraId="37E45E3B" w14:textId="77777777" w:rsidR="000F7E31" w:rsidRDefault="007962CB" w:rsidP="002D25BE">
      <w:pPr>
        <w:pStyle w:val="ListParagraph"/>
        <w:numPr>
          <w:ilvl w:val="0"/>
          <w:numId w:val="1"/>
        </w:numPr>
        <w:tabs>
          <w:tab w:val="left" w:pos="972"/>
        </w:tabs>
        <w:kinsoku w:val="0"/>
        <w:overflowPunct w:val="0"/>
        <w:spacing w:before="56"/>
        <w:jc w:val="both"/>
        <w:rPr>
          <w:rFonts w:ascii="Calibri" w:hAnsi="Calibri" w:cs="Calibri"/>
          <w:sz w:val="22"/>
          <w:szCs w:val="22"/>
        </w:rPr>
      </w:pPr>
      <w:r>
        <w:rPr>
          <w:rFonts w:ascii="Calibri" w:hAnsi="Calibri" w:cs="Calibri"/>
          <w:sz w:val="22"/>
          <w:szCs w:val="22"/>
        </w:rPr>
        <w:t>special category or sensitive personal data held in electronic records (including</w:t>
      </w:r>
      <w:r>
        <w:rPr>
          <w:rFonts w:ascii="Calibri" w:hAnsi="Calibri" w:cs="Calibri"/>
          <w:spacing w:val="-24"/>
          <w:sz w:val="22"/>
          <w:szCs w:val="22"/>
        </w:rPr>
        <w:t xml:space="preserve"> </w:t>
      </w:r>
      <w:r>
        <w:rPr>
          <w:rFonts w:ascii="Calibri" w:hAnsi="Calibri" w:cs="Calibri"/>
          <w:sz w:val="22"/>
          <w:szCs w:val="22"/>
        </w:rPr>
        <w:t>back-ups);</w:t>
      </w:r>
    </w:p>
    <w:p w14:paraId="37E45E3C" w14:textId="77777777" w:rsidR="000F7E31" w:rsidRDefault="000F7E31" w:rsidP="002D25BE">
      <w:pPr>
        <w:pStyle w:val="BodyText"/>
        <w:kinsoku w:val="0"/>
        <w:overflowPunct w:val="0"/>
        <w:spacing w:before="2"/>
        <w:ind w:left="0"/>
        <w:jc w:val="both"/>
        <w:rPr>
          <w:sz w:val="10"/>
          <w:szCs w:val="10"/>
        </w:rPr>
      </w:pPr>
    </w:p>
    <w:p w14:paraId="37E45E3D" w14:textId="234F297D" w:rsidR="000F7E31" w:rsidRDefault="007962CB" w:rsidP="002D25BE">
      <w:pPr>
        <w:pStyle w:val="ListParagraph"/>
        <w:numPr>
          <w:ilvl w:val="0"/>
          <w:numId w:val="1"/>
        </w:numPr>
        <w:tabs>
          <w:tab w:val="left" w:pos="972"/>
        </w:tabs>
        <w:kinsoku w:val="0"/>
        <w:overflowPunct w:val="0"/>
        <w:spacing w:before="56" w:line="259" w:lineRule="auto"/>
        <w:ind w:right="113"/>
        <w:jc w:val="both"/>
        <w:rPr>
          <w:rFonts w:ascii="Calibri" w:hAnsi="Calibri" w:cs="Calibri"/>
          <w:sz w:val="22"/>
          <w:szCs w:val="22"/>
        </w:rPr>
      </w:pPr>
      <w:r>
        <w:rPr>
          <w:rFonts w:ascii="Calibri" w:hAnsi="Calibri" w:cs="Calibri"/>
          <w:sz w:val="22"/>
          <w:szCs w:val="22"/>
        </w:rPr>
        <w:t xml:space="preserve">personal data held in physical records (including archives) </w:t>
      </w:r>
      <w:r w:rsidR="002D25BE">
        <w:rPr>
          <w:rFonts w:ascii="Calibri" w:hAnsi="Calibri" w:cs="Calibri"/>
          <w:sz w:val="22"/>
          <w:szCs w:val="22"/>
        </w:rPr>
        <w:t>crosscut</w:t>
      </w:r>
      <w:r>
        <w:rPr>
          <w:rFonts w:ascii="Calibri" w:hAnsi="Calibri" w:cs="Calibri"/>
          <w:sz w:val="22"/>
          <w:szCs w:val="22"/>
        </w:rPr>
        <w:t xml:space="preserve"> shredded as ‘confidential waste’.</w:t>
      </w:r>
    </w:p>
    <w:p w14:paraId="37E45E3E" w14:textId="77777777" w:rsidR="000F7E31" w:rsidRDefault="007962CB" w:rsidP="002D25BE">
      <w:pPr>
        <w:pStyle w:val="ListParagraph"/>
        <w:numPr>
          <w:ilvl w:val="0"/>
          <w:numId w:val="1"/>
        </w:numPr>
        <w:tabs>
          <w:tab w:val="left" w:pos="972"/>
        </w:tabs>
        <w:kinsoku w:val="0"/>
        <w:overflowPunct w:val="0"/>
        <w:spacing w:before="158" w:line="259" w:lineRule="auto"/>
        <w:ind w:right="112"/>
        <w:jc w:val="both"/>
        <w:rPr>
          <w:rFonts w:ascii="Calibri" w:hAnsi="Calibri" w:cs="Calibri"/>
          <w:sz w:val="22"/>
          <w:szCs w:val="22"/>
        </w:rPr>
      </w:pPr>
      <w:r>
        <w:rPr>
          <w:rFonts w:ascii="Calibri" w:hAnsi="Calibri" w:cs="Calibri"/>
          <w:sz w:val="22"/>
          <w:szCs w:val="22"/>
        </w:rPr>
        <w:t>special category or other sensitive personal data held in physical records (including archives) cross- cut shredded as ‘confidential</w:t>
      </w:r>
      <w:r>
        <w:rPr>
          <w:rFonts w:ascii="Calibri" w:hAnsi="Calibri" w:cs="Calibri"/>
          <w:spacing w:val="-6"/>
          <w:sz w:val="22"/>
          <w:szCs w:val="22"/>
        </w:rPr>
        <w:t xml:space="preserve"> </w:t>
      </w:r>
      <w:r>
        <w:rPr>
          <w:rFonts w:ascii="Calibri" w:hAnsi="Calibri" w:cs="Calibri"/>
          <w:sz w:val="22"/>
          <w:szCs w:val="22"/>
        </w:rPr>
        <w:t>waste’.</w:t>
      </w:r>
    </w:p>
    <w:p w14:paraId="37E45E40" w14:textId="2E059549" w:rsidR="000F7E31" w:rsidRDefault="007962CB" w:rsidP="002D25BE">
      <w:pPr>
        <w:pStyle w:val="BodyText"/>
        <w:kinsoku w:val="0"/>
        <w:overflowPunct w:val="0"/>
        <w:spacing w:before="56"/>
        <w:ind w:right="117"/>
        <w:jc w:val="both"/>
      </w:pPr>
      <w:r>
        <w:t xml:space="preserve">In all cases, proof of destruction is to be recorded. Where an external </w:t>
      </w:r>
      <w:r w:rsidR="00283999">
        <w:t>destruction</w:t>
      </w:r>
      <w:r>
        <w:t xml:space="preserve"> supplier is used, a certificate of destruction must be provided by the</w:t>
      </w:r>
      <w:r>
        <w:rPr>
          <w:spacing w:val="-15"/>
        </w:rPr>
        <w:t xml:space="preserve"> </w:t>
      </w:r>
      <w:r>
        <w:t>supplier.</w:t>
      </w:r>
    </w:p>
    <w:p w14:paraId="37E45E41" w14:textId="77777777" w:rsidR="000F7E31" w:rsidRDefault="007962CB" w:rsidP="002D25BE">
      <w:pPr>
        <w:pStyle w:val="BodyText"/>
        <w:kinsoku w:val="0"/>
        <w:overflowPunct w:val="0"/>
        <w:spacing w:before="120"/>
        <w:ind w:right="116"/>
        <w:jc w:val="both"/>
      </w:pPr>
      <w:r>
        <w:t>Electronic or physical records may contain different types of personal data which are used for different purposes. These different types of personal data may be subject to different retention periods or have different levels of sensitivity. It is therefore imperative that the data itself is managed individually according to categories and not the physical or electronic file as a whole. It may be necessary to destroy some data from a file, at the same time retaining other information from the same</w:t>
      </w:r>
      <w:r>
        <w:rPr>
          <w:spacing w:val="-27"/>
        </w:rPr>
        <w:t xml:space="preserve"> </w:t>
      </w:r>
      <w:r>
        <w:t>file.</w:t>
      </w:r>
    </w:p>
    <w:p w14:paraId="5D19B464" w14:textId="77777777" w:rsidR="000F7E31" w:rsidRDefault="000F7E31">
      <w:pPr>
        <w:pStyle w:val="BodyText"/>
        <w:kinsoku w:val="0"/>
        <w:overflowPunct w:val="0"/>
        <w:spacing w:before="120"/>
        <w:ind w:right="116"/>
        <w:jc w:val="both"/>
      </w:pPr>
    </w:p>
    <w:p w14:paraId="78C0AA5B" w14:textId="77777777" w:rsidR="002D25BE" w:rsidRDefault="002D25BE">
      <w:pPr>
        <w:pStyle w:val="BodyText"/>
        <w:kinsoku w:val="0"/>
        <w:overflowPunct w:val="0"/>
        <w:spacing w:before="120"/>
        <w:ind w:right="116"/>
        <w:jc w:val="both"/>
      </w:pPr>
    </w:p>
    <w:p w14:paraId="37E45E42" w14:textId="3E2A530B" w:rsidR="002D25BE" w:rsidRDefault="002D25BE">
      <w:pPr>
        <w:pStyle w:val="BodyText"/>
        <w:kinsoku w:val="0"/>
        <w:overflowPunct w:val="0"/>
        <w:spacing w:before="120"/>
        <w:ind w:right="116"/>
        <w:jc w:val="both"/>
        <w:sectPr w:rsidR="002D25BE" w:rsidSect="00773ADB">
          <w:headerReference w:type="default" r:id="rId10"/>
          <w:footerReference w:type="default" r:id="rId11"/>
          <w:pgSz w:w="11910" w:h="16840"/>
          <w:pgMar w:top="1985" w:right="1137" w:bottom="1276" w:left="1220" w:header="0" w:footer="998" w:gutter="0"/>
          <w:pgNumType w:start="1"/>
          <w:cols w:space="720"/>
          <w:noEndnote/>
        </w:sectPr>
      </w:pPr>
    </w:p>
    <w:p w14:paraId="37E45E43" w14:textId="77777777" w:rsidR="000F7E31" w:rsidRDefault="000F7E31">
      <w:pPr>
        <w:pStyle w:val="BodyText"/>
        <w:kinsoku w:val="0"/>
        <w:overflowPunct w:val="0"/>
        <w:spacing w:before="3"/>
        <w:ind w:left="0"/>
        <w:rPr>
          <w:sz w:val="14"/>
          <w:szCs w:val="14"/>
        </w:rPr>
      </w:pPr>
    </w:p>
    <w:p w14:paraId="37E45E44" w14:textId="77777777" w:rsidR="000F7E31" w:rsidRPr="00CF1332" w:rsidRDefault="007962CB" w:rsidP="002B53C7">
      <w:pPr>
        <w:pStyle w:val="Heading1"/>
      </w:pPr>
      <w:r w:rsidRPr="00CF1332">
        <w:t>Schedule 1 Retention Schedule</w:t>
      </w:r>
    </w:p>
    <w:p w14:paraId="37E45E45" w14:textId="77777777" w:rsidR="000F7E31" w:rsidRDefault="000F7E31">
      <w:pPr>
        <w:pStyle w:val="BodyText"/>
        <w:kinsoku w:val="0"/>
        <w:overflowPunct w:val="0"/>
        <w:spacing w:before="4"/>
        <w:ind w:left="0"/>
        <w:rPr>
          <w:b/>
          <w:bCs/>
        </w:rPr>
      </w:pPr>
    </w:p>
    <w:tbl>
      <w:tblPr>
        <w:tblW w:w="13489" w:type="dxa"/>
        <w:tblInd w:w="111" w:type="dxa"/>
        <w:tblLayout w:type="fixed"/>
        <w:tblCellMar>
          <w:left w:w="0" w:type="dxa"/>
          <w:right w:w="0" w:type="dxa"/>
        </w:tblCellMar>
        <w:tblLook w:val="0000" w:firstRow="0" w:lastRow="0" w:firstColumn="0" w:lastColumn="0" w:noHBand="0" w:noVBand="0"/>
      </w:tblPr>
      <w:tblGrid>
        <w:gridCol w:w="2715"/>
        <w:gridCol w:w="1418"/>
        <w:gridCol w:w="2977"/>
        <w:gridCol w:w="4961"/>
        <w:gridCol w:w="1418"/>
      </w:tblGrid>
      <w:tr w:rsidR="00C74FA3" w:rsidRPr="00ED53AB" w14:paraId="2CBE59DD" w14:textId="77777777" w:rsidTr="00BC24E4">
        <w:trPr>
          <w:trHeight w:hRule="exact" w:val="557"/>
          <w:tblHeader/>
        </w:trPr>
        <w:tc>
          <w:tcPr>
            <w:tcW w:w="271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72825259" w14:textId="77777777" w:rsidR="00C74FA3" w:rsidRPr="00ED53AB" w:rsidRDefault="00C74FA3" w:rsidP="00BC24E4">
            <w:pPr>
              <w:pStyle w:val="TableParagraph"/>
              <w:kinsoku w:val="0"/>
              <w:overflowPunct w:val="0"/>
              <w:spacing w:line="265" w:lineRule="exact"/>
              <w:jc w:val="center"/>
              <w:rPr>
                <w:rFonts w:asciiTheme="minorHAnsi" w:hAnsiTheme="minorHAnsi" w:cstheme="minorHAnsi"/>
                <w:sz w:val="20"/>
                <w:szCs w:val="20"/>
              </w:rPr>
            </w:pPr>
            <w:r w:rsidRPr="00ED53AB">
              <w:rPr>
                <w:rFonts w:asciiTheme="minorHAnsi" w:hAnsiTheme="minorHAnsi" w:cstheme="minorHAnsi"/>
                <w:sz w:val="20"/>
                <w:szCs w:val="20"/>
              </w:rPr>
              <w:t>Category of Personal</w:t>
            </w:r>
            <w:r w:rsidRPr="00ED53AB">
              <w:rPr>
                <w:rFonts w:asciiTheme="minorHAnsi" w:hAnsiTheme="minorHAnsi" w:cstheme="minorHAnsi"/>
                <w:spacing w:val="-9"/>
                <w:sz w:val="20"/>
                <w:szCs w:val="20"/>
              </w:rPr>
              <w:t xml:space="preserve"> </w:t>
            </w:r>
            <w:r w:rsidRPr="00ED53AB">
              <w:rPr>
                <w:rFonts w:asciiTheme="minorHAnsi" w:hAnsiTheme="minorHAnsi" w:cstheme="minorHAnsi"/>
                <w:sz w:val="20"/>
                <w:szCs w:val="20"/>
              </w:rPr>
              <w:t>Data</w:t>
            </w:r>
          </w:p>
        </w:tc>
        <w:tc>
          <w:tcPr>
            <w:tcW w:w="1418"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0C9E093C" w14:textId="77777777" w:rsidR="00C74FA3" w:rsidRPr="00ED53AB" w:rsidRDefault="00C74FA3" w:rsidP="00BC24E4">
            <w:pPr>
              <w:pStyle w:val="TableParagraph"/>
              <w:kinsoku w:val="0"/>
              <w:overflowPunct w:val="0"/>
              <w:spacing w:line="265" w:lineRule="exact"/>
              <w:ind w:left="-1"/>
              <w:jc w:val="center"/>
              <w:rPr>
                <w:rFonts w:asciiTheme="minorHAnsi" w:hAnsiTheme="minorHAnsi" w:cstheme="minorHAnsi"/>
                <w:sz w:val="20"/>
                <w:szCs w:val="20"/>
              </w:rPr>
            </w:pPr>
            <w:r w:rsidRPr="00ED53AB">
              <w:rPr>
                <w:rFonts w:asciiTheme="minorHAnsi" w:hAnsiTheme="minorHAnsi" w:cstheme="minorHAnsi"/>
                <w:sz w:val="20"/>
                <w:szCs w:val="20"/>
              </w:rPr>
              <w:t>Contains Personal Data</w:t>
            </w:r>
          </w:p>
        </w:tc>
        <w:tc>
          <w:tcPr>
            <w:tcW w:w="2977"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25D501AA" w14:textId="77777777" w:rsidR="00C74FA3" w:rsidRPr="00ED53AB" w:rsidRDefault="00C74FA3" w:rsidP="00BC24E4">
            <w:pPr>
              <w:pStyle w:val="TableParagraph"/>
              <w:kinsoku w:val="0"/>
              <w:overflowPunct w:val="0"/>
              <w:spacing w:line="265" w:lineRule="exact"/>
              <w:ind w:left="-1"/>
              <w:jc w:val="center"/>
              <w:rPr>
                <w:rFonts w:asciiTheme="minorHAnsi" w:hAnsiTheme="minorHAnsi" w:cstheme="minorHAnsi"/>
                <w:sz w:val="20"/>
                <w:szCs w:val="20"/>
              </w:rPr>
            </w:pPr>
            <w:r w:rsidRPr="00ED53AB">
              <w:rPr>
                <w:rFonts w:asciiTheme="minorHAnsi" w:hAnsiTheme="minorHAnsi" w:cstheme="minorHAnsi"/>
                <w:sz w:val="20"/>
                <w:szCs w:val="20"/>
              </w:rPr>
              <w:t>Retention</w:t>
            </w:r>
            <w:r w:rsidRPr="00ED53AB">
              <w:rPr>
                <w:rFonts w:asciiTheme="minorHAnsi" w:hAnsiTheme="minorHAnsi" w:cstheme="minorHAnsi"/>
                <w:spacing w:val="-5"/>
                <w:sz w:val="20"/>
                <w:szCs w:val="20"/>
              </w:rPr>
              <w:t xml:space="preserve"> </w:t>
            </w:r>
            <w:r w:rsidRPr="00ED53AB">
              <w:rPr>
                <w:rFonts w:asciiTheme="minorHAnsi" w:hAnsiTheme="minorHAnsi" w:cstheme="minorHAnsi"/>
                <w:sz w:val="20"/>
                <w:szCs w:val="20"/>
              </w:rPr>
              <w:t>Period</w:t>
            </w:r>
          </w:p>
        </w:tc>
        <w:tc>
          <w:tcPr>
            <w:tcW w:w="496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77AD9971" w14:textId="77777777" w:rsidR="00C74FA3" w:rsidRPr="00ED53AB" w:rsidRDefault="00C74FA3" w:rsidP="00BC24E4">
            <w:pPr>
              <w:pStyle w:val="TableParagraph"/>
              <w:kinsoku w:val="0"/>
              <w:overflowPunct w:val="0"/>
              <w:spacing w:line="265" w:lineRule="exact"/>
              <w:ind w:left="-3"/>
              <w:jc w:val="center"/>
              <w:rPr>
                <w:rFonts w:asciiTheme="minorHAnsi" w:hAnsiTheme="minorHAnsi" w:cstheme="minorHAnsi"/>
                <w:sz w:val="20"/>
                <w:szCs w:val="20"/>
              </w:rPr>
            </w:pPr>
            <w:r w:rsidRPr="00ED53AB">
              <w:rPr>
                <w:rFonts w:asciiTheme="minorHAnsi" w:hAnsiTheme="minorHAnsi" w:cstheme="minorHAnsi"/>
                <w:sz w:val="20"/>
                <w:szCs w:val="20"/>
              </w:rPr>
              <w:t>Rationale for Retention Period</w:t>
            </w:r>
          </w:p>
        </w:tc>
        <w:tc>
          <w:tcPr>
            <w:tcW w:w="1418"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59E47737" w14:textId="77777777" w:rsidR="00C74FA3" w:rsidRPr="00ED53AB" w:rsidRDefault="00C74FA3" w:rsidP="00BC24E4">
            <w:pPr>
              <w:pStyle w:val="TableParagraph"/>
              <w:kinsoku w:val="0"/>
              <w:overflowPunct w:val="0"/>
              <w:spacing w:line="265" w:lineRule="exact"/>
              <w:jc w:val="center"/>
              <w:rPr>
                <w:rFonts w:asciiTheme="minorHAnsi" w:hAnsiTheme="minorHAnsi" w:cstheme="minorHAnsi"/>
                <w:sz w:val="20"/>
                <w:szCs w:val="20"/>
              </w:rPr>
            </w:pPr>
            <w:r w:rsidRPr="00ED53AB">
              <w:rPr>
                <w:rFonts w:asciiTheme="minorHAnsi" w:hAnsiTheme="minorHAnsi" w:cstheme="minorHAnsi"/>
                <w:sz w:val="20"/>
                <w:szCs w:val="20"/>
              </w:rPr>
              <w:t>Responsible Team</w:t>
            </w:r>
          </w:p>
        </w:tc>
      </w:tr>
      <w:tr w:rsidR="00E3032F" w:rsidRPr="00ED53AB" w14:paraId="550E600B" w14:textId="77777777" w:rsidTr="00BC24E4">
        <w:trPr>
          <w:trHeight w:hRule="exact" w:val="1003"/>
        </w:trPr>
        <w:tc>
          <w:tcPr>
            <w:tcW w:w="2715" w:type="dxa"/>
            <w:tcBorders>
              <w:top w:val="single" w:sz="7" w:space="0" w:color="000000"/>
              <w:left w:val="single" w:sz="7" w:space="0" w:color="000000"/>
              <w:bottom w:val="single" w:sz="7" w:space="0" w:color="000000"/>
              <w:right w:val="single" w:sz="7" w:space="0" w:color="000000"/>
            </w:tcBorders>
          </w:tcPr>
          <w:p w14:paraId="721237CD" w14:textId="54DC809B" w:rsidR="00E3032F" w:rsidRPr="00BC2CA8" w:rsidRDefault="007538D0" w:rsidP="00CE4E28">
            <w:pPr>
              <w:rPr>
                <w:rFonts w:asciiTheme="minorHAnsi" w:hAnsiTheme="minorHAnsi" w:cstheme="minorHAnsi"/>
                <w:sz w:val="18"/>
                <w:szCs w:val="18"/>
              </w:rPr>
            </w:pPr>
            <w:r>
              <w:rPr>
                <w:rFonts w:asciiTheme="minorHAnsi" w:hAnsiTheme="minorHAnsi" w:cstheme="minorHAnsi"/>
                <w:sz w:val="18"/>
                <w:szCs w:val="18"/>
              </w:rPr>
              <w:t>BSGE</w:t>
            </w:r>
            <w:r w:rsidR="00E3032F">
              <w:rPr>
                <w:rFonts w:asciiTheme="minorHAnsi" w:hAnsiTheme="minorHAnsi" w:cstheme="minorHAnsi"/>
                <w:sz w:val="18"/>
                <w:szCs w:val="18"/>
              </w:rPr>
              <w:t xml:space="preserve"> member</w:t>
            </w:r>
            <w:r w:rsidR="00094A42">
              <w:rPr>
                <w:rFonts w:asciiTheme="minorHAnsi" w:hAnsiTheme="minorHAnsi" w:cstheme="minorHAnsi"/>
                <w:sz w:val="18"/>
                <w:szCs w:val="18"/>
              </w:rPr>
              <w:t>ship records</w:t>
            </w:r>
          </w:p>
        </w:tc>
        <w:tc>
          <w:tcPr>
            <w:tcW w:w="1418" w:type="dxa"/>
            <w:tcBorders>
              <w:top w:val="single" w:sz="7" w:space="0" w:color="000000"/>
              <w:left w:val="single" w:sz="7" w:space="0" w:color="000000"/>
              <w:bottom w:val="single" w:sz="7" w:space="0" w:color="000000"/>
              <w:right w:val="single" w:sz="7" w:space="0" w:color="000000"/>
            </w:tcBorders>
          </w:tcPr>
          <w:p w14:paraId="3FF3B4E0" w14:textId="7C81D59B" w:rsidR="00E3032F" w:rsidRPr="00BC2CA8" w:rsidRDefault="00094A42" w:rsidP="00CE4E28">
            <w:pPr>
              <w:jc w:val="center"/>
              <w:rPr>
                <w:rFonts w:asciiTheme="minorHAnsi" w:hAnsiTheme="minorHAnsi" w:cstheme="minorHAnsi"/>
                <w:sz w:val="18"/>
                <w:szCs w:val="18"/>
              </w:rPr>
            </w:pPr>
            <w:r>
              <w:rPr>
                <w:rFonts w:asciiTheme="minorHAnsi" w:hAnsiTheme="minorHAnsi" w:cstheme="minorHAnsi"/>
                <w:sz w:val="18"/>
                <w:szCs w:val="18"/>
              </w:rPr>
              <w:t>Yes</w:t>
            </w:r>
          </w:p>
        </w:tc>
        <w:tc>
          <w:tcPr>
            <w:tcW w:w="2977" w:type="dxa"/>
            <w:tcBorders>
              <w:top w:val="single" w:sz="7" w:space="0" w:color="000000"/>
              <w:left w:val="single" w:sz="7" w:space="0" w:color="000000"/>
              <w:bottom w:val="single" w:sz="7" w:space="0" w:color="000000"/>
              <w:right w:val="single" w:sz="7" w:space="0" w:color="000000"/>
            </w:tcBorders>
          </w:tcPr>
          <w:p w14:paraId="53217D47" w14:textId="00D78C66" w:rsidR="00094A42" w:rsidRPr="00C214B9" w:rsidRDefault="00094A42" w:rsidP="00094A42">
            <w:pPr>
              <w:rPr>
                <w:rFonts w:asciiTheme="minorHAnsi" w:hAnsiTheme="minorHAnsi" w:cstheme="minorHAnsi"/>
                <w:sz w:val="18"/>
                <w:szCs w:val="18"/>
              </w:rPr>
            </w:pPr>
            <w:r w:rsidRPr="00C214B9">
              <w:rPr>
                <w:rFonts w:asciiTheme="minorHAnsi" w:hAnsiTheme="minorHAnsi" w:cstheme="minorHAnsi"/>
                <w:sz w:val="18"/>
                <w:szCs w:val="18"/>
              </w:rPr>
              <w:t xml:space="preserve">Trigger: </w:t>
            </w:r>
            <w:r>
              <w:rPr>
                <w:rFonts w:asciiTheme="minorHAnsi" w:hAnsiTheme="minorHAnsi" w:cstheme="minorHAnsi"/>
                <w:sz w:val="18"/>
                <w:szCs w:val="18"/>
              </w:rPr>
              <w:t>cessation of membership consultation</w:t>
            </w:r>
          </w:p>
          <w:p w14:paraId="46CFFBD6" w14:textId="422DD1C1" w:rsidR="00094A42" w:rsidRPr="00C214B9" w:rsidRDefault="00094A42" w:rsidP="00094A42">
            <w:pPr>
              <w:rPr>
                <w:rFonts w:asciiTheme="minorHAnsi" w:hAnsiTheme="minorHAnsi" w:cstheme="minorHAnsi"/>
                <w:sz w:val="18"/>
                <w:szCs w:val="18"/>
              </w:rPr>
            </w:pPr>
            <w:r w:rsidRPr="00C214B9">
              <w:rPr>
                <w:rFonts w:asciiTheme="minorHAnsi" w:hAnsiTheme="minorHAnsi" w:cstheme="minorHAnsi"/>
                <w:sz w:val="18"/>
                <w:szCs w:val="18"/>
              </w:rPr>
              <w:t xml:space="preserve">Minimum: </w:t>
            </w:r>
            <w:r w:rsidR="007F46FC">
              <w:rPr>
                <w:rFonts w:asciiTheme="minorHAnsi" w:hAnsiTheme="minorHAnsi" w:cstheme="minorHAnsi"/>
                <w:sz w:val="18"/>
                <w:szCs w:val="18"/>
              </w:rPr>
              <w:t>1 year</w:t>
            </w:r>
          </w:p>
          <w:p w14:paraId="036EC387" w14:textId="70C37F0B" w:rsidR="00E3032F" w:rsidRPr="006C013B" w:rsidRDefault="00094A42" w:rsidP="00094A42">
            <w:pPr>
              <w:rPr>
                <w:rFonts w:asciiTheme="minorHAnsi" w:hAnsiTheme="minorHAnsi" w:cstheme="minorHAnsi"/>
                <w:bCs/>
                <w:sz w:val="18"/>
                <w:szCs w:val="18"/>
              </w:rPr>
            </w:pPr>
            <w:r w:rsidRPr="00C214B9">
              <w:rPr>
                <w:rFonts w:asciiTheme="minorHAnsi" w:hAnsiTheme="minorHAnsi" w:cstheme="minorHAnsi"/>
                <w:sz w:val="18"/>
                <w:szCs w:val="18"/>
              </w:rPr>
              <w:t xml:space="preserve">Maximum: </w:t>
            </w:r>
            <w:r w:rsidR="007F46FC">
              <w:rPr>
                <w:rFonts w:asciiTheme="minorHAnsi" w:hAnsiTheme="minorHAnsi" w:cstheme="minorHAnsi"/>
                <w:sz w:val="18"/>
                <w:szCs w:val="18"/>
              </w:rPr>
              <w:t>2</w:t>
            </w:r>
            <w:r w:rsidR="000D6610">
              <w:rPr>
                <w:rFonts w:asciiTheme="minorHAnsi" w:hAnsiTheme="minorHAnsi" w:cstheme="minorHAnsi"/>
                <w:sz w:val="18"/>
                <w:szCs w:val="18"/>
              </w:rPr>
              <w:t xml:space="preserve"> year</w:t>
            </w:r>
          </w:p>
        </w:tc>
        <w:tc>
          <w:tcPr>
            <w:tcW w:w="4961" w:type="dxa"/>
            <w:tcBorders>
              <w:top w:val="single" w:sz="7" w:space="0" w:color="000000"/>
              <w:left w:val="single" w:sz="7" w:space="0" w:color="000000"/>
              <w:bottom w:val="single" w:sz="7" w:space="0" w:color="000000"/>
              <w:right w:val="single" w:sz="7" w:space="0" w:color="000000"/>
            </w:tcBorders>
          </w:tcPr>
          <w:p w14:paraId="4B4FD6D4" w14:textId="15139C60" w:rsidR="00E3032F" w:rsidRDefault="00337F39" w:rsidP="00CE4E28">
            <w:pPr>
              <w:rPr>
                <w:rFonts w:asciiTheme="minorHAnsi" w:hAnsiTheme="minorHAnsi" w:cstheme="minorHAnsi"/>
                <w:sz w:val="18"/>
                <w:szCs w:val="18"/>
              </w:rPr>
            </w:pPr>
            <w:r>
              <w:rPr>
                <w:rFonts w:asciiTheme="minorHAnsi" w:hAnsiTheme="minorHAnsi" w:cstheme="minorHAnsi"/>
                <w:sz w:val="18"/>
                <w:szCs w:val="18"/>
              </w:rPr>
              <w:t xml:space="preserve">Data held in </w:t>
            </w:r>
            <w:r w:rsidR="00D20D6C">
              <w:rPr>
                <w:rFonts w:asciiTheme="minorHAnsi" w:hAnsiTheme="minorHAnsi" w:cstheme="minorHAnsi"/>
                <w:sz w:val="18"/>
                <w:szCs w:val="18"/>
              </w:rPr>
              <w:t xml:space="preserve">Google cloud hosted </w:t>
            </w:r>
            <w:r>
              <w:rPr>
                <w:rFonts w:asciiTheme="minorHAnsi" w:hAnsiTheme="minorHAnsi" w:cstheme="minorHAnsi"/>
                <w:sz w:val="18"/>
                <w:szCs w:val="18"/>
              </w:rPr>
              <w:t>database</w:t>
            </w:r>
            <w:r w:rsidR="00D20D6C">
              <w:rPr>
                <w:rFonts w:asciiTheme="minorHAnsi" w:hAnsiTheme="minorHAnsi" w:cstheme="minorHAnsi"/>
                <w:sz w:val="18"/>
                <w:szCs w:val="18"/>
              </w:rPr>
              <w:t xml:space="preserve">. At membership renewal if member fails to pay, the record is </w:t>
            </w:r>
            <w:r w:rsidR="007F46FC">
              <w:rPr>
                <w:rFonts w:asciiTheme="minorHAnsi" w:hAnsiTheme="minorHAnsi" w:cstheme="minorHAnsi"/>
                <w:sz w:val="18"/>
                <w:szCs w:val="18"/>
              </w:rPr>
              <w:t>made inactive. If after 2 years</w:t>
            </w:r>
            <w:r w:rsidR="00BF4E39">
              <w:rPr>
                <w:rFonts w:asciiTheme="minorHAnsi" w:hAnsiTheme="minorHAnsi" w:cstheme="minorHAnsi"/>
                <w:sz w:val="18"/>
                <w:szCs w:val="18"/>
              </w:rPr>
              <w:t xml:space="preserve">, the record is deleted from </w:t>
            </w:r>
            <w:r w:rsidR="00655944">
              <w:rPr>
                <w:rFonts w:asciiTheme="minorHAnsi" w:hAnsiTheme="minorHAnsi" w:cstheme="minorHAnsi"/>
                <w:sz w:val="18"/>
                <w:szCs w:val="18"/>
              </w:rPr>
              <w:t>the database.</w:t>
            </w:r>
          </w:p>
        </w:tc>
        <w:tc>
          <w:tcPr>
            <w:tcW w:w="1418" w:type="dxa"/>
            <w:tcBorders>
              <w:top w:val="single" w:sz="7" w:space="0" w:color="000000"/>
              <w:left w:val="single" w:sz="7" w:space="0" w:color="000000"/>
              <w:bottom w:val="single" w:sz="7" w:space="0" w:color="000000"/>
              <w:right w:val="single" w:sz="7" w:space="0" w:color="000000"/>
            </w:tcBorders>
          </w:tcPr>
          <w:p w14:paraId="50F1531D" w14:textId="2D57E0EB" w:rsidR="00E3032F" w:rsidRDefault="00337F39" w:rsidP="00CE4E28">
            <w:pPr>
              <w:jc w:val="center"/>
              <w:rPr>
                <w:rFonts w:asciiTheme="minorHAnsi" w:hAnsiTheme="minorHAnsi" w:cstheme="minorHAnsi"/>
                <w:sz w:val="18"/>
                <w:szCs w:val="18"/>
              </w:rPr>
            </w:pPr>
            <w:r w:rsidRPr="00337F39">
              <w:rPr>
                <w:rFonts w:asciiTheme="minorHAnsi" w:hAnsiTheme="minorHAnsi" w:cstheme="minorHAnsi"/>
                <w:sz w:val="18"/>
                <w:szCs w:val="18"/>
              </w:rPr>
              <w:t>BSGE Specialist Society Manager</w:t>
            </w:r>
          </w:p>
        </w:tc>
      </w:tr>
      <w:tr w:rsidR="008E05C5" w:rsidRPr="00ED53AB" w14:paraId="75FC11EB" w14:textId="77777777" w:rsidTr="00BC24E4">
        <w:trPr>
          <w:trHeight w:hRule="exact" w:val="1003"/>
        </w:trPr>
        <w:tc>
          <w:tcPr>
            <w:tcW w:w="2715" w:type="dxa"/>
            <w:tcBorders>
              <w:top w:val="single" w:sz="7" w:space="0" w:color="000000"/>
              <w:left w:val="single" w:sz="7" w:space="0" w:color="000000"/>
              <w:bottom w:val="single" w:sz="7" w:space="0" w:color="000000"/>
              <w:right w:val="single" w:sz="7" w:space="0" w:color="000000"/>
            </w:tcBorders>
          </w:tcPr>
          <w:p w14:paraId="77D73D7A" w14:textId="62E99D2F" w:rsidR="008E05C5" w:rsidRDefault="007538D0" w:rsidP="00CE4E28">
            <w:pPr>
              <w:rPr>
                <w:rFonts w:asciiTheme="minorHAnsi" w:hAnsiTheme="minorHAnsi" w:cstheme="minorHAnsi"/>
                <w:sz w:val="18"/>
                <w:szCs w:val="18"/>
              </w:rPr>
            </w:pPr>
            <w:r>
              <w:rPr>
                <w:rFonts w:asciiTheme="minorHAnsi" w:hAnsiTheme="minorHAnsi" w:cstheme="minorHAnsi"/>
                <w:sz w:val="18"/>
                <w:szCs w:val="18"/>
              </w:rPr>
              <w:t xml:space="preserve">BSGE </w:t>
            </w:r>
            <w:r w:rsidR="000C4CC8">
              <w:rPr>
                <w:rFonts w:asciiTheme="minorHAnsi" w:hAnsiTheme="minorHAnsi" w:cstheme="minorHAnsi"/>
                <w:sz w:val="18"/>
                <w:szCs w:val="18"/>
              </w:rPr>
              <w:t>c</w:t>
            </w:r>
            <w:r>
              <w:rPr>
                <w:rFonts w:asciiTheme="minorHAnsi" w:hAnsiTheme="minorHAnsi" w:cstheme="minorHAnsi"/>
                <w:sz w:val="18"/>
                <w:szCs w:val="18"/>
              </w:rPr>
              <w:t>onference event</w:t>
            </w:r>
            <w:r w:rsidR="004D6B69">
              <w:rPr>
                <w:rFonts w:asciiTheme="minorHAnsi" w:hAnsiTheme="minorHAnsi" w:cstheme="minorHAnsi"/>
                <w:sz w:val="18"/>
                <w:szCs w:val="18"/>
              </w:rPr>
              <w:t xml:space="preserve"> attendees</w:t>
            </w:r>
          </w:p>
        </w:tc>
        <w:tc>
          <w:tcPr>
            <w:tcW w:w="1418" w:type="dxa"/>
            <w:tcBorders>
              <w:top w:val="single" w:sz="7" w:space="0" w:color="000000"/>
              <w:left w:val="single" w:sz="7" w:space="0" w:color="000000"/>
              <w:bottom w:val="single" w:sz="7" w:space="0" w:color="000000"/>
              <w:right w:val="single" w:sz="7" w:space="0" w:color="000000"/>
            </w:tcBorders>
          </w:tcPr>
          <w:p w14:paraId="175E750C" w14:textId="5B1AF9E2" w:rsidR="008E05C5" w:rsidRDefault="004D6B69" w:rsidP="00CE4E28">
            <w:pPr>
              <w:jc w:val="center"/>
              <w:rPr>
                <w:rFonts w:asciiTheme="minorHAnsi" w:hAnsiTheme="minorHAnsi" w:cstheme="minorHAnsi"/>
                <w:sz w:val="18"/>
                <w:szCs w:val="18"/>
              </w:rPr>
            </w:pPr>
            <w:r>
              <w:rPr>
                <w:rFonts w:asciiTheme="minorHAnsi" w:hAnsiTheme="minorHAnsi" w:cstheme="minorHAnsi"/>
                <w:sz w:val="18"/>
                <w:szCs w:val="18"/>
              </w:rPr>
              <w:t>Yes</w:t>
            </w:r>
          </w:p>
        </w:tc>
        <w:tc>
          <w:tcPr>
            <w:tcW w:w="2977" w:type="dxa"/>
            <w:tcBorders>
              <w:top w:val="single" w:sz="7" w:space="0" w:color="000000"/>
              <w:left w:val="single" w:sz="7" w:space="0" w:color="000000"/>
              <w:bottom w:val="single" w:sz="7" w:space="0" w:color="000000"/>
              <w:right w:val="single" w:sz="7" w:space="0" w:color="000000"/>
            </w:tcBorders>
          </w:tcPr>
          <w:p w14:paraId="6D3DC036" w14:textId="541E7764" w:rsidR="00BA126A" w:rsidRPr="00C214B9" w:rsidRDefault="00BA126A" w:rsidP="00BA126A">
            <w:pPr>
              <w:rPr>
                <w:rFonts w:asciiTheme="minorHAnsi" w:hAnsiTheme="minorHAnsi" w:cstheme="minorHAnsi"/>
                <w:sz w:val="18"/>
                <w:szCs w:val="18"/>
              </w:rPr>
            </w:pPr>
            <w:r w:rsidRPr="00C214B9">
              <w:rPr>
                <w:rFonts w:asciiTheme="minorHAnsi" w:hAnsiTheme="minorHAnsi" w:cstheme="minorHAnsi"/>
                <w:sz w:val="18"/>
                <w:szCs w:val="18"/>
              </w:rPr>
              <w:t xml:space="preserve">Trigger: </w:t>
            </w:r>
            <w:r>
              <w:rPr>
                <w:rFonts w:asciiTheme="minorHAnsi" w:hAnsiTheme="minorHAnsi" w:cstheme="minorHAnsi"/>
                <w:sz w:val="18"/>
                <w:szCs w:val="18"/>
              </w:rPr>
              <w:t>end of event</w:t>
            </w:r>
          </w:p>
          <w:p w14:paraId="7503D425" w14:textId="002EC582" w:rsidR="00BA126A" w:rsidRPr="00C214B9" w:rsidRDefault="00BA126A" w:rsidP="00BA126A">
            <w:pPr>
              <w:rPr>
                <w:rFonts w:asciiTheme="minorHAnsi" w:hAnsiTheme="minorHAnsi" w:cstheme="minorHAnsi"/>
                <w:sz w:val="18"/>
                <w:szCs w:val="18"/>
              </w:rPr>
            </w:pPr>
            <w:r w:rsidRPr="00C214B9">
              <w:rPr>
                <w:rFonts w:asciiTheme="minorHAnsi" w:hAnsiTheme="minorHAnsi" w:cstheme="minorHAnsi"/>
                <w:sz w:val="18"/>
                <w:szCs w:val="18"/>
              </w:rPr>
              <w:t xml:space="preserve">Minimum: </w:t>
            </w:r>
            <w:r w:rsidR="00E2264E">
              <w:rPr>
                <w:rFonts w:asciiTheme="minorHAnsi" w:hAnsiTheme="minorHAnsi" w:cstheme="minorHAnsi"/>
                <w:sz w:val="18"/>
                <w:szCs w:val="18"/>
              </w:rPr>
              <w:t>6 months</w:t>
            </w:r>
          </w:p>
          <w:p w14:paraId="1DBD0D6D" w14:textId="7E96B20F" w:rsidR="008E05C5" w:rsidRPr="00C214B9" w:rsidRDefault="00BA126A" w:rsidP="00BA126A">
            <w:pPr>
              <w:rPr>
                <w:rFonts w:asciiTheme="minorHAnsi" w:hAnsiTheme="minorHAnsi" w:cstheme="minorHAnsi"/>
                <w:sz w:val="18"/>
                <w:szCs w:val="18"/>
              </w:rPr>
            </w:pPr>
            <w:r w:rsidRPr="00C214B9">
              <w:rPr>
                <w:rFonts w:asciiTheme="minorHAnsi" w:hAnsiTheme="minorHAnsi" w:cstheme="minorHAnsi"/>
                <w:sz w:val="18"/>
                <w:szCs w:val="18"/>
              </w:rPr>
              <w:t xml:space="preserve">Maximum: </w:t>
            </w:r>
            <w:r w:rsidR="00E2264E">
              <w:rPr>
                <w:rFonts w:asciiTheme="minorHAnsi" w:hAnsiTheme="minorHAnsi" w:cstheme="minorHAnsi"/>
                <w:sz w:val="18"/>
                <w:szCs w:val="18"/>
              </w:rPr>
              <w:t>1</w:t>
            </w:r>
            <w:r>
              <w:rPr>
                <w:rFonts w:asciiTheme="minorHAnsi" w:hAnsiTheme="minorHAnsi" w:cstheme="minorHAnsi"/>
                <w:sz w:val="18"/>
                <w:szCs w:val="18"/>
              </w:rPr>
              <w:t xml:space="preserve"> year</w:t>
            </w:r>
          </w:p>
        </w:tc>
        <w:tc>
          <w:tcPr>
            <w:tcW w:w="4961" w:type="dxa"/>
            <w:tcBorders>
              <w:top w:val="single" w:sz="7" w:space="0" w:color="000000"/>
              <w:left w:val="single" w:sz="7" w:space="0" w:color="000000"/>
              <w:bottom w:val="single" w:sz="7" w:space="0" w:color="000000"/>
              <w:right w:val="single" w:sz="7" w:space="0" w:color="000000"/>
            </w:tcBorders>
          </w:tcPr>
          <w:p w14:paraId="78B8CDAF" w14:textId="6F967DDC" w:rsidR="008E05C5" w:rsidRDefault="00E2264E" w:rsidP="00CE4E28">
            <w:pPr>
              <w:rPr>
                <w:rFonts w:asciiTheme="minorHAnsi" w:hAnsiTheme="minorHAnsi" w:cstheme="minorHAnsi"/>
                <w:sz w:val="18"/>
                <w:szCs w:val="18"/>
              </w:rPr>
            </w:pPr>
            <w:r>
              <w:rPr>
                <w:rFonts w:asciiTheme="minorHAnsi" w:hAnsiTheme="minorHAnsi" w:cstheme="minorHAnsi"/>
                <w:sz w:val="18"/>
                <w:szCs w:val="18"/>
              </w:rPr>
              <w:t xml:space="preserve">Data held </w:t>
            </w:r>
            <w:r w:rsidR="006E203D">
              <w:rPr>
                <w:rFonts w:asciiTheme="minorHAnsi" w:hAnsiTheme="minorHAnsi" w:cstheme="minorHAnsi"/>
                <w:sz w:val="18"/>
                <w:szCs w:val="18"/>
              </w:rPr>
              <w:t>i</w:t>
            </w:r>
            <w:r>
              <w:rPr>
                <w:rFonts w:asciiTheme="minorHAnsi" w:hAnsiTheme="minorHAnsi" w:cstheme="minorHAnsi"/>
                <w:sz w:val="18"/>
                <w:szCs w:val="18"/>
              </w:rPr>
              <w:t xml:space="preserve">n RCOG </w:t>
            </w:r>
            <w:r w:rsidR="002E0064">
              <w:rPr>
                <w:rFonts w:asciiTheme="minorHAnsi" w:hAnsiTheme="minorHAnsi" w:cstheme="minorHAnsi"/>
                <w:sz w:val="18"/>
                <w:szCs w:val="18"/>
              </w:rPr>
              <w:t>SharePoint (Outlook, Word &amp; Excel)</w:t>
            </w:r>
            <w:r w:rsidR="006E203D">
              <w:rPr>
                <w:rFonts w:asciiTheme="minorHAnsi" w:hAnsiTheme="minorHAnsi" w:cstheme="minorHAnsi"/>
                <w:sz w:val="18"/>
                <w:szCs w:val="18"/>
              </w:rPr>
              <w:t xml:space="preserve">. </w:t>
            </w:r>
          </w:p>
        </w:tc>
        <w:tc>
          <w:tcPr>
            <w:tcW w:w="1418" w:type="dxa"/>
            <w:tcBorders>
              <w:top w:val="single" w:sz="7" w:space="0" w:color="000000"/>
              <w:left w:val="single" w:sz="7" w:space="0" w:color="000000"/>
              <w:bottom w:val="single" w:sz="7" w:space="0" w:color="000000"/>
              <w:right w:val="single" w:sz="7" w:space="0" w:color="000000"/>
            </w:tcBorders>
          </w:tcPr>
          <w:p w14:paraId="64B7B087" w14:textId="69613A3C" w:rsidR="008E05C5" w:rsidRPr="00337F39" w:rsidRDefault="00E2264E" w:rsidP="00CE4E28">
            <w:pPr>
              <w:jc w:val="center"/>
              <w:rPr>
                <w:rFonts w:asciiTheme="minorHAnsi" w:hAnsiTheme="minorHAnsi" w:cstheme="minorHAnsi"/>
                <w:sz w:val="18"/>
                <w:szCs w:val="18"/>
              </w:rPr>
            </w:pPr>
            <w:r w:rsidRPr="00337F39">
              <w:rPr>
                <w:rFonts w:asciiTheme="minorHAnsi" w:hAnsiTheme="minorHAnsi" w:cstheme="minorHAnsi"/>
                <w:sz w:val="18"/>
                <w:szCs w:val="18"/>
              </w:rPr>
              <w:t>BSGE Specialist Society Manager</w:t>
            </w:r>
          </w:p>
        </w:tc>
      </w:tr>
      <w:tr w:rsidR="00505C09" w:rsidRPr="00ED53AB" w14:paraId="0EF0E064" w14:textId="77777777" w:rsidTr="00BC24E4">
        <w:trPr>
          <w:trHeight w:hRule="exact" w:val="1003"/>
        </w:trPr>
        <w:tc>
          <w:tcPr>
            <w:tcW w:w="2715" w:type="dxa"/>
            <w:tcBorders>
              <w:top w:val="single" w:sz="7" w:space="0" w:color="000000"/>
              <w:left w:val="single" w:sz="7" w:space="0" w:color="000000"/>
              <w:bottom w:val="single" w:sz="7" w:space="0" w:color="000000"/>
              <w:right w:val="single" w:sz="7" w:space="0" w:color="000000"/>
            </w:tcBorders>
          </w:tcPr>
          <w:p w14:paraId="3DC179E2" w14:textId="6346AA44" w:rsidR="00505C09" w:rsidRPr="00BC2CA8" w:rsidRDefault="00505C09" w:rsidP="00CE4E28">
            <w:pPr>
              <w:rPr>
                <w:rFonts w:asciiTheme="minorHAnsi" w:hAnsiTheme="minorHAnsi" w:cstheme="minorHAnsi"/>
                <w:sz w:val="18"/>
                <w:szCs w:val="18"/>
              </w:rPr>
            </w:pPr>
            <w:r>
              <w:rPr>
                <w:rFonts w:asciiTheme="minorHAnsi" w:hAnsiTheme="minorHAnsi" w:cstheme="minorHAnsi"/>
                <w:sz w:val="18"/>
                <w:szCs w:val="18"/>
              </w:rPr>
              <w:t>Medical files retained and processed in BSGE Endometriosis database</w:t>
            </w:r>
          </w:p>
        </w:tc>
        <w:tc>
          <w:tcPr>
            <w:tcW w:w="1418" w:type="dxa"/>
            <w:tcBorders>
              <w:top w:val="single" w:sz="7" w:space="0" w:color="000000"/>
              <w:left w:val="single" w:sz="7" w:space="0" w:color="000000"/>
              <w:bottom w:val="single" w:sz="7" w:space="0" w:color="000000"/>
              <w:right w:val="single" w:sz="7" w:space="0" w:color="000000"/>
            </w:tcBorders>
          </w:tcPr>
          <w:p w14:paraId="426DB269" w14:textId="1A5943C3" w:rsidR="00505C09" w:rsidRPr="00BC2CA8" w:rsidRDefault="00505C09" w:rsidP="00CE4E28">
            <w:pPr>
              <w:jc w:val="center"/>
              <w:rPr>
                <w:rFonts w:asciiTheme="minorHAnsi" w:hAnsiTheme="minorHAnsi" w:cstheme="minorHAnsi"/>
                <w:sz w:val="18"/>
                <w:szCs w:val="18"/>
              </w:rPr>
            </w:pPr>
            <w:r>
              <w:rPr>
                <w:rFonts w:asciiTheme="minorHAnsi" w:hAnsiTheme="minorHAnsi" w:cstheme="minorHAnsi"/>
                <w:sz w:val="18"/>
                <w:szCs w:val="18"/>
              </w:rPr>
              <w:t>Yes</w:t>
            </w:r>
          </w:p>
        </w:tc>
        <w:tc>
          <w:tcPr>
            <w:tcW w:w="2977" w:type="dxa"/>
            <w:tcBorders>
              <w:top w:val="single" w:sz="7" w:space="0" w:color="000000"/>
              <w:left w:val="single" w:sz="7" w:space="0" w:color="000000"/>
              <w:bottom w:val="single" w:sz="7" w:space="0" w:color="000000"/>
              <w:right w:val="single" w:sz="7" w:space="0" w:color="000000"/>
            </w:tcBorders>
          </w:tcPr>
          <w:p w14:paraId="04B0493D" w14:textId="5AC99782" w:rsidR="00505C09" w:rsidRPr="00C214B9" w:rsidRDefault="00505C09" w:rsidP="00505C09">
            <w:pPr>
              <w:rPr>
                <w:rFonts w:asciiTheme="minorHAnsi" w:hAnsiTheme="minorHAnsi" w:cstheme="minorHAnsi"/>
                <w:sz w:val="18"/>
                <w:szCs w:val="18"/>
              </w:rPr>
            </w:pPr>
            <w:r w:rsidRPr="00C214B9">
              <w:rPr>
                <w:rFonts w:asciiTheme="minorHAnsi" w:hAnsiTheme="minorHAnsi" w:cstheme="minorHAnsi"/>
                <w:sz w:val="18"/>
                <w:szCs w:val="18"/>
              </w:rPr>
              <w:t xml:space="preserve">Trigger: </w:t>
            </w:r>
            <w:r>
              <w:rPr>
                <w:rFonts w:asciiTheme="minorHAnsi" w:hAnsiTheme="minorHAnsi" w:cstheme="minorHAnsi"/>
                <w:sz w:val="18"/>
                <w:szCs w:val="18"/>
              </w:rPr>
              <w:t>cessation of medical consultation</w:t>
            </w:r>
          </w:p>
          <w:p w14:paraId="79F65717" w14:textId="77777777" w:rsidR="00505C09" w:rsidRPr="00C214B9" w:rsidRDefault="00505C09" w:rsidP="00505C09">
            <w:pPr>
              <w:rPr>
                <w:rFonts w:asciiTheme="minorHAnsi" w:hAnsiTheme="minorHAnsi" w:cstheme="minorHAnsi"/>
                <w:sz w:val="18"/>
                <w:szCs w:val="18"/>
              </w:rPr>
            </w:pPr>
            <w:r w:rsidRPr="00C214B9">
              <w:rPr>
                <w:rFonts w:asciiTheme="minorHAnsi" w:hAnsiTheme="minorHAnsi" w:cstheme="minorHAnsi"/>
                <w:sz w:val="18"/>
                <w:szCs w:val="18"/>
              </w:rPr>
              <w:t>Minimum: Indefinitely</w:t>
            </w:r>
          </w:p>
          <w:p w14:paraId="056241C9" w14:textId="7A77F474" w:rsidR="00505C09" w:rsidRPr="006C013B" w:rsidRDefault="00505C09" w:rsidP="00505C09">
            <w:pPr>
              <w:rPr>
                <w:rFonts w:asciiTheme="minorHAnsi" w:hAnsiTheme="minorHAnsi" w:cstheme="minorHAnsi"/>
                <w:bCs/>
                <w:sz w:val="18"/>
                <w:szCs w:val="18"/>
              </w:rPr>
            </w:pPr>
            <w:r w:rsidRPr="00C214B9">
              <w:rPr>
                <w:rFonts w:asciiTheme="minorHAnsi" w:hAnsiTheme="minorHAnsi" w:cstheme="minorHAnsi"/>
                <w:sz w:val="18"/>
                <w:szCs w:val="18"/>
              </w:rPr>
              <w:t>Maximum: N/A</w:t>
            </w:r>
          </w:p>
        </w:tc>
        <w:tc>
          <w:tcPr>
            <w:tcW w:w="4961" w:type="dxa"/>
            <w:tcBorders>
              <w:top w:val="single" w:sz="7" w:space="0" w:color="000000"/>
              <w:left w:val="single" w:sz="7" w:space="0" w:color="000000"/>
              <w:bottom w:val="single" w:sz="7" w:space="0" w:color="000000"/>
              <w:right w:val="single" w:sz="7" w:space="0" w:color="000000"/>
            </w:tcBorders>
          </w:tcPr>
          <w:p w14:paraId="2582751E" w14:textId="0D5F92B8" w:rsidR="00505C09" w:rsidRDefault="00505C09" w:rsidP="00CE4E28">
            <w:pPr>
              <w:rPr>
                <w:rFonts w:asciiTheme="minorHAnsi" w:hAnsiTheme="minorHAnsi" w:cstheme="minorHAnsi"/>
                <w:sz w:val="18"/>
                <w:szCs w:val="18"/>
              </w:rPr>
            </w:pPr>
            <w:r>
              <w:rPr>
                <w:rFonts w:asciiTheme="minorHAnsi" w:hAnsiTheme="minorHAnsi" w:cstheme="minorHAnsi"/>
                <w:sz w:val="18"/>
                <w:szCs w:val="18"/>
              </w:rPr>
              <w:t>Data held in Endometriosis database is modified into pseudonymised form and access strictly controlled and stored in a secure environment. Only the independent controller (medical centres) can access and update the</w:t>
            </w:r>
            <w:r w:rsidR="0063645F">
              <w:rPr>
                <w:rFonts w:asciiTheme="minorHAnsi" w:hAnsiTheme="minorHAnsi" w:cstheme="minorHAnsi"/>
                <w:sz w:val="18"/>
                <w:szCs w:val="18"/>
              </w:rPr>
              <w:t>ir patient’s</w:t>
            </w:r>
            <w:r>
              <w:rPr>
                <w:rFonts w:asciiTheme="minorHAnsi" w:hAnsiTheme="minorHAnsi" w:cstheme="minorHAnsi"/>
                <w:sz w:val="18"/>
                <w:szCs w:val="18"/>
              </w:rPr>
              <w:t xml:space="preserve"> data</w:t>
            </w:r>
            <w:r w:rsidR="0063645F">
              <w:rPr>
                <w:rFonts w:asciiTheme="minorHAnsi" w:hAnsiTheme="minorHAnsi" w:cstheme="minorHAnsi"/>
                <w:sz w:val="18"/>
                <w:szCs w:val="18"/>
              </w:rPr>
              <w:t>.</w:t>
            </w:r>
            <w:bookmarkStart w:id="0" w:name="_GoBack"/>
            <w:bookmarkEnd w:id="0"/>
          </w:p>
        </w:tc>
        <w:tc>
          <w:tcPr>
            <w:tcW w:w="1418" w:type="dxa"/>
            <w:tcBorders>
              <w:top w:val="single" w:sz="7" w:space="0" w:color="000000"/>
              <w:left w:val="single" w:sz="7" w:space="0" w:color="000000"/>
              <w:bottom w:val="single" w:sz="7" w:space="0" w:color="000000"/>
              <w:right w:val="single" w:sz="7" w:space="0" w:color="000000"/>
            </w:tcBorders>
          </w:tcPr>
          <w:p w14:paraId="18D3C31D" w14:textId="1ECC5A8E" w:rsidR="00505C09" w:rsidRDefault="006733DD" w:rsidP="00CE4E28">
            <w:pPr>
              <w:jc w:val="center"/>
              <w:rPr>
                <w:rFonts w:asciiTheme="minorHAnsi" w:hAnsiTheme="minorHAnsi" w:cstheme="minorHAnsi"/>
                <w:sz w:val="18"/>
                <w:szCs w:val="18"/>
              </w:rPr>
            </w:pPr>
            <w:r w:rsidRPr="006733DD">
              <w:rPr>
                <w:rFonts w:asciiTheme="minorHAnsi" w:hAnsiTheme="minorHAnsi" w:cstheme="minorHAnsi"/>
                <w:sz w:val="18"/>
                <w:szCs w:val="18"/>
                <w:highlight w:val="yellow"/>
              </w:rPr>
              <w:t>Vice President</w:t>
            </w:r>
          </w:p>
        </w:tc>
      </w:tr>
      <w:tr w:rsidR="00CE4E28" w:rsidRPr="00BC2CA8" w14:paraId="0974039F" w14:textId="77777777" w:rsidTr="00BC24E4">
        <w:trPr>
          <w:trHeight w:hRule="exact" w:val="1134"/>
        </w:trPr>
        <w:tc>
          <w:tcPr>
            <w:tcW w:w="2715" w:type="dxa"/>
            <w:tcBorders>
              <w:top w:val="single" w:sz="7" w:space="0" w:color="000000"/>
              <w:left w:val="single" w:sz="7" w:space="0" w:color="000000"/>
              <w:bottom w:val="single" w:sz="7" w:space="0" w:color="000000"/>
              <w:right w:val="single" w:sz="7" w:space="0" w:color="000000"/>
            </w:tcBorders>
          </w:tcPr>
          <w:p w14:paraId="631DD18B" w14:textId="77777777" w:rsidR="00CE4E28" w:rsidRPr="0007030B" w:rsidRDefault="00CE4E28" w:rsidP="00CE4E28">
            <w:pPr>
              <w:rPr>
                <w:rFonts w:asciiTheme="minorHAnsi" w:hAnsiTheme="minorHAnsi" w:cstheme="minorHAnsi"/>
                <w:sz w:val="18"/>
                <w:szCs w:val="18"/>
              </w:rPr>
            </w:pPr>
            <w:r w:rsidRPr="0007030B">
              <w:rPr>
                <w:rFonts w:asciiTheme="minorHAnsi" w:hAnsiTheme="minorHAnsi" w:cstheme="minorHAnsi"/>
                <w:sz w:val="18"/>
                <w:szCs w:val="18"/>
              </w:rPr>
              <w:t>Subject Access Requests (SAR)</w:t>
            </w:r>
          </w:p>
          <w:p w14:paraId="09FCA00F" w14:textId="77777777" w:rsidR="00CE4E28" w:rsidRPr="00BC2CA8" w:rsidRDefault="00CE4E28" w:rsidP="00CE4E28">
            <w:pPr>
              <w:rPr>
                <w:rFonts w:asciiTheme="minorHAnsi" w:hAnsiTheme="minorHAnsi" w:cstheme="minorHAnsi"/>
                <w:sz w:val="18"/>
                <w:szCs w:val="18"/>
              </w:rPr>
            </w:pPr>
            <w:r w:rsidRPr="0007030B">
              <w:rPr>
                <w:rFonts w:asciiTheme="minorHAnsi" w:hAnsiTheme="minorHAnsi" w:cstheme="minorHAnsi"/>
                <w:sz w:val="18"/>
                <w:szCs w:val="18"/>
              </w:rPr>
              <w:t>- including information compiled for the purposes of meeting the request</w:t>
            </w:r>
          </w:p>
        </w:tc>
        <w:tc>
          <w:tcPr>
            <w:tcW w:w="1418" w:type="dxa"/>
            <w:tcBorders>
              <w:top w:val="single" w:sz="7" w:space="0" w:color="000000"/>
              <w:left w:val="single" w:sz="7" w:space="0" w:color="000000"/>
              <w:bottom w:val="single" w:sz="7" w:space="0" w:color="000000"/>
              <w:right w:val="single" w:sz="7" w:space="0" w:color="000000"/>
            </w:tcBorders>
          </w:tcPr>
          <w:p w14:paraId="3B951BC4" w14:textId="77777777" w:rsidR="00CE4E28" w:rsidRPr="00BC2CA8" w:rsidRDefault="00CE4E28" w:rsidP="00CE4E28">
            <w:pPr>
              <w:jc w:val="center"/>
              <w:rPr>
                <w:rFonts w:asciiTheme="minorHAnsi" w:hAnsiTheme="minorHAnsi" w:cstheme="minorHAnsi"/>
                <w:sz w:val="18"/>
                <w:szCs w:val="18"/>
              </w:rPr>
            </w:pPr>
            <w:r w:rsidRPr="0007030B">
              <w:rPr>
                <w:rFonts w:asciiTheme="minorHAnsi" w:hAnsiTheme="minorHAnsi" w:cstheme="minorHAnsi"/>
                <w:sz w:val="18"/>
                <w:szCs w:val="18"/>
              </w:rPr>
              <w:t>Yes</w:t>
            </w:r>
          </w:p>
        </w:tc>
        <w:tc>
          <w:tcPr>
            <w:tcW w:w="2977" w:type="dxa"/>
            <w:tcBorders>
              <w:top w:val="single" w:sz="7" w:space="0" w:color="000000"/>
              <w:left w:val="single" w:sz="7" w:space="0" w:color="000000"/>
              <w:bottom w:val="single" w:sz="7" w:space="0" w:color="000000"/>
              <w:right w:val="single" w:sz="7" w:space="0" w:color="000000"/>
            </w:tcBorders>
          </w:tcPr>
          <w:p w14:paraId="62571082" w14:textId="77777777" w:rsidR="00CE4E28" w:rsidRPr="0007030B" w:rsidRDefault="00CE4E28" w:rsidP="00CE4E28">
            <w:pPr>
              <w:rPr>
                <w:rFonts w:asciiTheme="minorHAnsi" w:hAnsiTheme="minorHAnsi" w:cstheme="minorHAnsi"/>
                <w:sz w:val="18"/>
                <w:szCs w:val="18"/>
              </w:rPr>
            </w:pPr>
            <w:r w:rsidRPr="0007030B">
              <w:rPr>
                <w:rFonts w:asciiTheme="minorHAnsi" w:hAnsiTheme="minorHAnsi" w:cstheme="minorHAnsi"/>
                <w:sz w:val="18"/>
                <w:szCs w:val="18"/>
              </w:rPr>
              <w:t>Trigger: Date of last action related to the SAR</w:t>
            </w:r>
          </w:p>
          <w:p w14:paraId="4121310E" w14:textId="77777777" w:rsidR="00CE4E28" w:rsidRPr="0007030B" w:rsidRDefault="00CE4E28" w:rsidP="00CE4E28">
            <w:pPr>
              <w:rPr>
                <w:rFonts w:asciiTheme="minorHAnsi" w:hAnsiTheme="minorHAnsi" w:cstheme="minorHAnsi"/>
                <w:sz w:val="18"/>
                <w:szCs w:val="18"/>
              </w:rPr>
            </w:pPr>
            <w:r w:rsidRPr="0007030B">
              <w:rPr>
                <w:rFonts w:asciiTheme="minorHAnsi" w:hAnsiTheme="minorHAnsi" w:cstheme="minorHAnsi"/>
                <w:sz w:val="18"/>
                <w:szCs w:val="18"/>
              </w:rPr>
              <w:t xml:space="preserve">Minimum: 1 years </w:t>
            </w:r>
          </w:p>
          <w:p w14:paraId="3163BA28" w14:textId="77777777" w:rsidR="00CE4E28" w:rsidRPr="00BC2CA8" w:rsidRDefault="00CE4E28" w:rsidP="00CE4E28">
            <w:pPr>
              <w:rPr>
                <w:rFonts w:asciiTheme="minorHAnsi" w:hAnsiTheme="minorHAnsi" w:cstheme="minorHAnsi"/>
                <w:sz w:val="18"/>
                <w:szCs w:val="18"/>
              </w:rPr>
            </w:pPr>
            <w:r w:rsidRPr="0007030B">
              <w:rPr>
                <w:rFonts w:asciiTheme="minorHAnsi" w:hAnsiTheme="minorHAnsi" w:cstheme="minorHAnsi"/>
                <w:sz w:val="18"/>
                <w:szCs w:val="18"/>
              </w:rPr>
              <w:t>Maximum: 2 years</w:t>
            </w:r>
          </w:p>
        </w:tc>
        <w:tc>
          <w:tcPr>
            <w:tcW w:w="4961" w:type="dxa"/>
            <w:tcBorders>
              <w:top w:val="single" w:sz="7" w:space="0" w:color="000000"/>
              <w:left w:val="single" w:sz="7" w:space="0" w:color="000000"/>
              <w:bottom w:val="single" w:sz="7" w:space="0" w:color="000000"/>
              <w:right w:val="single" w:sz="7" w:space="0" w:color="000000"/>
            </w:tcBorders>
          </w:tcPr>
          <w:p w14:paraId="59E962BA" w14:textId="77777777" w:rsidR="00CE4E28" w:rsidRPr="00BC2CA8" w:rsidRDefault="00CE4E28" w:rsidP="00CE4E28">
            <w:pPr>
              <w:rPr>
                <w:rFonts w:asciiTheme="minorHAnsi" w:hAnsiTheme="minorHAnsi" w:cstheme="minorHAnsi"/>
                <w:sz w:val="18"/>
                <w:szCs w:val="18"/>
              </w:rPr>
            </w:pPr>
            <w:r w:rsidRPr="0007030B">
              <w:rPr>
                <w:rFonts w:asciiTheme="minorHAnsi" w:hAnsiTheme="minorHAnsi" w:cstheme="minorHAnsi"/>
                <w:sz w:val="18"/>
                <w:szCs w:val="18"/>
              </w:rPr>
              <w:t>To permit requestors to make any necessary appeals</w:t>
            </w:r>
          </w:p>
        </w:tc>
        <w:tc>
          <w:tcPr>
            <w:tcW w:w="1418" w:type="dxa"/>
            <w:tcBorders>
              <w:top w:val="single" w:sz="7" w:space="0" w:color="000000"/>
              <w:left w:val="single" w:sz="7" w:space="0" w:color="000000"/>
              <w:bottom w:val="single" w:sz="7" w:space="0" w:color="000000"/>
              <w:right w:val="single" w:sz="7" w:space="0" w:color="000000"/>
            </w:tcBorders>
          </w:tcPr>
          <w:p w14:paraId="697D5D5F" w14:textId="07BD3177" w:rsidR="00CE4E28" w:rsidRPr="00BC2CA8" w:rsidRDefault="00CE4E28" w:rsidP="00CE4E28">
            <w:pPr>
              <w:jc w:val="center"/>
              <w:rPr>
                <w:rFonts w:asciiTheme="minorHAnsi" w:hAnsiTheme="minorHAnsi" w:cstheme="minorHAnsi"/>
                <w:sz w:val="18"/>
                <w:szCs w:val="18"/>
              </w:rPr>
            </w:pPr>
            <w:r>
              <w:rPr>
                <w:rFonts w:asciiTheme="minorHAnsi" w:hAnsiTheme="minorHAnsi" w:cstheme="minorHAnsi"/>
                <w:sz w:val="18"/>
                <w:szCs w:val="18"/>
              </w:rPr>
              <w:t>BSGE Manager</w:t>
            </w:r>
          </w:p>
        </w:tc>
      </w:tr>
      <w:tr w:rsidR="00CE4E28" w:rsidRPr="006E66CB" w14:paraId="4AB09BB9" w14:textId="77777777" w:rsidTr="00BC24E4">
        <w:trPr>
          <w:trHeight w:hRule="exact" w:val="2127"/>
        </w:trPr>
        <w:tc>
          <w:tcPr>
            <w:tcW w:w="2715" w:type="dxa"/>
            <w:tcBorders>
              <w:top w:val="single" w:sz="7" w:space="0" w:color="000000"/>
              <w:left w:val="single" w:sz="7" w:space="0" w:color="000000"/>
              <w:bottom w:val="single" w:sz="7" w:space="0" w:color="000000"/>
              <w:right w:val="single" w:sz="7" w:space="0" w:color="000000"/>
            </w:tcBorders>
          </w:tcPr>
          <w:p w14:paraId="42BB92C6" w14:textId="77777777" w:rsidR="00CE4E28" w:rsidRPr="004E7362" w:rsidRDefault="00CE4E28" w:rsidP="00CE4E28">
            <w:pPr>
              <w:rPr>
                <w:rFonts w:asciiTheme="minorHAnsi" w:hAnsiTheme="minorHAnsi" w:cstheme="minorHAnsi"/>
                <w:sz w:val="18"/>
                <w:szCs w:val="18"/>
              </w:rPr>
            </w:pPr>
            <w:r w:rsidRPr="004E7362">
              <w:rPr>
                <w:rFonts w:asciiTheme="minorHAnsi" w:hAnsiTheme="minorHAnsi" w:cstheme="minorHAnsi"/>
                <w:sz w:val="18"/>
                <w:szCs w:val="18"/>
              </w:rPr>
              <w:t>Tax returns and associated computations, signed statements, report and accounts, auditor’s reports</w:t>
            </w:r>
            <w:r>
              <w:rPr>
                <w:rFonts w:asciiTheme="minorHAnsi" w:hAnsiTheme="minorHAnsi" w:cstheme="minorHAnsi"/>
                <w:sz w:val="18"/>
                <w:szCs w:val="18"/>
              </w:rPr>
              <w:t xml:space="preserve">. </w:t>
            </w:r>
            <w:r w:rsidRPr="004E7362">
              <w:rPr>
                <w:rFonts w:asciiTheme="minorHAnsi" w:hAnsiTheme="minorHAnsi" w:cstheme="minorHAnsi"/>
                <w:sz w:val="18"/>
                <w:szCs w:val="18"/>
              </w:rPr>
              <w:t>Accounting records, including all supporting documentation such as cashbooks, petty cash books, etc.</w:t>
            </w:r>
          </w:p>
          <w:p w14:paraId="30FA8F9F" w14:textId="77777777" w:rsidR="00CE4E28" w:rsidRPr="004E7362" w:rsidRDefault="00CE4E28" w:rsidP="00CE4E28">
            <w:pPr>
              <w:rPr>
                <w:rFonts w:asciiTheme="minorHAnsi" w:hAnsiTheme="minorHAnsi" w:cstheme="minorHAnsi"/>
                <w:sz w:val="18"/>
                <w:szCs w:val="18"/>
              </w:rPr>
            </w:pPr>
            <w:r w:rsidRPr="004E7362">
              <w:rPr>
                <w:rFonts w:asciiTheme="minorHAnsi" w:hAnsiTheme="minorHAnsi" w:cstheme="minorHAnsi"/>
                <w:sz w:val="18"/>
                <w:szCs w:val="18"/>
              </w:rPr>
              <w:t xml:space="preserve"> - VAT records</w:t>
            </w:r>
          </w:p>
          <w:p w14:paraId="17648A80" w14:textId="77777777" w:rsidR="00CE4E28" w:rsidRPr="004E7362" w:rsidRDefault="00CE4E28" w:rsidP="00CE4E28">
            <w:pPr>
              <w:rPr>
                <w:rFonts w:asciiTheme="minorHAnsi" w:hAnsiTheme="minorHAnsi" w:cstheme="minorHAnsi"/>
                <w:sz w:val="18"/>
                <w:szCs w:val="18"/>
              </w:rPr>
            </w:pPr>
            <w:r w:rsidRPr="004E7362">
              <w:rPr>
                <w:rFonts w:asciiTheme="minorHAnsi" w:hAnsiTheme="minorHAnsi" w:cstheme="minorHAnsi"/>
                <w:sz w:val="18"/>
                <w:szCs w:val="18"/>
              </w:rPr>
              <w:t xml:space="preserve"> - Corporation tax records</w:t>
            </w:r>
          </w:p>
        </w:tc>
        <w:tc>
          <w:tcPr>
            <w:tcW w:w="1418" w:type="dxa"/>
            <w:tcBorders>
              <w:top w:val="single" w:sz="7" w:space="0" w:color="000000"/>
              <w:left w:val="single" w:sz="7" w:space="0" w:color="000000"/>
              <w:bottom w:val="single" w:sz="7" w:space="0" w:color="000000"/>
              <w:right w:val="single" w:sz="7" w:space="0" w:color="000000"/>
            </w:tcBorders>
          </w:tcPr>
          <w:p w14:paraId="07220BC6" w14:textId="77777777" w:rsidR="00CE4E28" w:rsidRPr="004E7362" w:rsidRDefault="00CE4E28" w:rsidP="00CE4E28">
            <w:pPr>
              <w:jc w:val="center"/>
              <w:rPr>
                <w:rFonts w:asciiTheme="minorHAnsi" w:hAnsiTheme="minorHAnsi" w:cstheme="minorHAnsi"/>
                <w:sz w:val="18"/>
                <w:szCs w:val="18"/>
              </w:rPr>
            </w:pPr>
            <w:r w:rsidRPr="004E7362">
              <w:rPr>
                <w:rFonts w:asciiTheme="minorHAnsi" w:hAnsiTheme="minorHAnsi" w:cstheme="minorHAnsi"/>
                <w:sz w:val="18"/>
                <w:szCs w:val="18"/>
              </w:rPr>
              <w:t>No</w:t>
            </w:r>
          </w:p>
        </w:tc>
        <w:tc>
          <w:tcPr>
            <w:tcW w:w="2977" w:type="dxa"/>
            <w:tcBorders>
              <w:top w:val="single" w:sz="7" w:space="0" w:color="000000"/>
              <w:left w:val="single" w:sz="7" w:space="0" w:color="000000"/>
              <w:bottom w:val="single" w:sz="7" w:space="0" w:color="000000"/>
              <w:right w:val="single" w:sz="7" w:space="0" w:color="000000"/>
            </w:tcBorders>
          </w:tcPr>
          <w:p w14:paraId="402A520B" w14:textId="77777777" w:rsidR="00CE4E28" w:rsidRPr="004E7362" w:rsidRDefault="00CE4E28" w:rsidP="00CE4E28">
            <w:pPr>
              <w:rPr>
                <w:rFonts w:asciiTheme="minorHAnsi" w:hAnsiTheme="minorHAnsi" w:cstheme="minorHAnsi"/>
                <w:sz w:val="18"/>
                <w:szCs w:val="18"/>
              </w:rPr>
            </w:pPr>
            <w:r w:rsidRPr="004E7362">
              <w:rPr>
                <w:rFonts w:asciiTheme="minorHAnsi" w:hAnsiTheme="minorHAnsi" w:cstheme="minorHAnsi"/>
                <w:sz w:val="18"/>
                <w:szCs w:val="18"/>
              </w:rPr>
              <w:t>Trigger: end of accounting period</w:t>
            </w:r>
          </w:p>
          <w:p w14:paraId="329A42CB" w14:textId="77777777" w:rsidR="00CE4E28" w:rsidRPr="004E7362" w:rsidRDefault="00CE4E28" w:rsidP="00CE4E28">
            <w:pPr>
              <w:rPr>
                <w:rFonts w:asciiTheme="minorHAnsi" w:hAnsiTheme="minorHAnsi" w:cstheme="minorHAnsi"/>
                <w:sz w:val="18"/>
                <w:szCs w:val="18"/>
              </w:rPr>
            </w:pPr>
            <w:r w:rsidRPr="004E7362">
              <w:rPr>
                <w:rFonts w:asciiTheme="minorHAnsi" w:hAnsiTheme="minorHAnsi" w:cstheme="minorHAnsi"/>
                <w:sz w:val="18"/>
                <w:szCs w:val="18"/>
              </w:rPr>
              <w:t>Minimum: 7 years</w:t>
            </w:r>
          </w:p>
          <w:p w14:paraId="63013492" w14:textId="77777777" w:rsidR="00CE4E28" w:rsidRPr="004E7362" w:rsidRDefault="00CE4E28" w:rsidP="00CE4E28">
            <w:pPr>
              <w:rPr>
                <w:rFonts w:asciiTheme="minorHAnsi" w:hAnsiTheme="minorHAnsi" w:cstheme="minorHAnsi"/>
                <w:sz w:val="18"/>
                <w:szCs w:val="18"/>
              </w:rPr>
            </w:pPr>
            <w:r w:rsidRPr="004E7362">
              <w:rPr>
                <w:rFonts w:asciiTheme="minorHAnsi" w:hAnsiTheme="minorHAnsi" w:cstheme="minorHAnsi"/>
                <w:sz w:val="18"/>
                <w:szCs w:val="18"/>
              </w:rPr>
              <w:t>Maximum: 8 years</w:t>
            </w:r>
          </w:p>
        </w:tc>
        <w:tc>
          <w:tcPr>
            <w:tcW w:w="4961" w:type="dxa"/>
            <w:tcBorders>
              <w:top w:val="single" w:sz="7" w:space="0" w:color="000000"/>
              <w:left w:val="single" w:sz="7" w:space="0" w:color="000000"/>
              <w:bottom w:val="single" w:sz="7" w:space="0" w:color="000000"/>
              <w:right w:val="single" w:sz="7" w:space="0" w:color="000000"/>
            </w:tcBorders>
          </w:tcPr>
          <w:p w14:paraId="404AA22D" w14:textId="77777777" w:rsidR="00CE4E28" w:rsidRPr="004E7362" w:rsidRDefault="00CE4E28" w:rsidP="00CE4E28">
            <w:pPr>
              <w:rPr>
                <w:rFonts w:asciiTheme="minorHAnsi" w:hAnsiTheme="minorHAnsi" w:cstheme="minorHAnsi"/>
                <w:sz w:val="18"/>
                <w:szCs w:val="18"/>
              </w:rPr>
            </w:pPr>
            <w:r w:rsidRPr="004E7362">
              <w:rPr>
                <w:rFonts w:asciiTheme="minorHAnsi" w:hAnsiTheme="minorHAnsi" w:cstheme="minorHAnsi"/>
                <w:sz w:val="18"/>
                <w:szCs w:val="18"/>
              </w:rPr>
              <w:t>Takes account of HMRC requirements that such documents should be kept for 6 years from the end of the accounting period to which they relate (Section 388 Companies Act 2006 and, for VAT, HMRC Notice 700/21).</w:t>
            </w:r>
          </w:p>
        </w:tc>
        <w:tc>
          <w:tcPr>
            <w:tcW w:w="1418" w:type="dxa"/>
            <w:tcBorders>
              <w:top w:val="single" w:sz="7" w:space="0" w:color="000000"/>
              <w:left w:val="single" w:sz="7" w:space="0" w:color="000000"/>
              <w:bottom w:val="single" w:sz="7" w:space="0" w:color="000000"/>
              <w:right w:val="single" w:sz="7" w:space="0" w:color="000000"/>
            </w:tcBorders>
          </w:tcPr>
          <w:p w14:paraId="0A3C69B9" w14:textId="7C6A3B5E" w:rsidR="00CE4E28" w:rsidRPr="004E7362" w:rsidRDefault="00CE4E28" w:rsidP="00CE4E28">
            <w:pPr>
              <w:jc w:val="center"/>
              <w:rPr>
                <w:rFonts w:asciiTheme="minorHAnsi" w:hAnsiTheme="minorHAnsi" w:cstheme="minorHAnsi"/>
                <w:sz w:val="18"/>
                <w:szCs w:val="18"/>
              </w:rPr>
            </w:pPr>
            <w:r>
              <w:rPr>
                <w:rFonts w:asciiTheme="minorHAnsi" w:hAnsiTheme="minorHAnsi" w:cstheme="minorHAnsi"/>
                <w:sz w:val="18"/>
                <w:szCs w:val="18"/>
              </w:rPr>
              <w:t>BSGE Manager</w:t>
            </w:r>
          </w:p>
        </w:tc>
      </w:tr>
      <w:tr w:rsidR="00CE4E28" w:rsidRPr="006E66CB" w14:paraId="41DF974D" w14:textId="77777777" w:rsidTr="00BC24E4">
        <w:trPr>
          <w:trHeight w:hRule="exact" w:val="994"/>
        </w:trPr>
        <w:tc>
          <w:tcPr>
            <w:tcW w:w="2715" w:type="dxa"/>
            <w:tcBorders>
              <w:top w:val="single" w:sz="7" w:space="0" w:color="000000"/>
              <w:left w:val="single" w:sz="7" w:space="0" w:color="000000"/>
              <w:bottom w:val="single" w:sz="7" w:space="0" w:color="000000"/>
              <w:right w:val="single" w:sz="7" w:space="0" w:color="000000"/>
            </w:tcBorders>
          </w:tcPr>
          <w:p w14:paraId="7452E6EA" w14:textId="77777777" w:rsidR="00CE4E28" w:rsidRPr="004E7362" w:rsidRDefault="00CE4E28" w:rsidP="00CE4E28">
            <w:pPr>
              <w:rPr>
                <w:rFonts w:asciiTheme="minorHAnsi" w:hAnsiTheme="minorHAnsi" w:cstheme="minorHAnsi"/>
                <w:sz w:val="18"/>
                <w:szCs w:val="18"/>
              </w:rPr>
            </w:pPr>
            <w:r>
              <w:rPr>
                <w:rFonts w:asciiTheme="minorHAnsi" w:hAnsiTheme="minorHAnsi" w:cstheme="minorHAnsi"/>
                <w:sz w:val="18"/>
                <w:szCs w:val="18"/>
              </w:rPr>
              <w:t xml:space="preserve">Insurance: </w:t>
            </w:r>
            <w:r w:rsidRPr="00C214B9">
              <w:rPr>
                <w:rFonts w:asciiTheme="minorHAnsi" w:hAnsiTheme="minorHAnsi" w:cstheme="minorHAnsi"/>
                <w:sz w:val="18"/>
                <w:szCs w:val="18"/>
              </w:rPr>
              <w:t>Public Liability Policy, Product Liability Policy and Employers Liability Policy</w:t>
            </w:r>
          </w:p>
        </w:tc>
        <w:tc>
          <w:tcPr>
            <w:tcW w:w="1418" w:type="dxa"/>
            <w:tcBorders>
              <w:top w:val="single" w:sz="7" w:space="0" w:color="000000"/>
              <w:left w:val="single" w:sz="7" w:space="0" w:color="000000"/>
              <w:bottom w:val="single" w:sz="7" w:space="0" w:color="000000"/>
              <w:right w:val="single" w:sz="7" w:space="0" w:color="000000"/>
            </w:tcBorders>
          </w:tcPr>
          <w:p w14:paraId="2B718FA0" w14:textId="77777777" w:rsidR="00CE4E28" w:rsidRPr="004E7362" w:rsidRDefault="00CE4E28" w:rsidP="00CE4E28">
            <w:pPr>
              <w:jc w:val="center"/>
              <w:rPr>
                <w:rFonts w:asciiTheme="minorHAnsi" w:hAnsiTheme="minorHAnsi" w:cstheme="minorHAnsi"/>
                <w:sz w:val="18"/>
                <w:szCs w:val="18"/>
              </w:rPr>
            </w:pPr>
            <w:r w:rsidRPr="00C214B9">
              <w:rPr>
                <w:rFonts w:asciiTheme="minorHAnsi" w:hAnsiTheme="minorHAnsi" w:cstheme="minorHAnsi"/>
                <w:sz w:val="18"/>
                <w:szCs w:val="18"/>
              </w:rPr>
              <w:t>No</w:t>
            </w:r>
          </w:p>
        </w:tc>
        <w:tc>
          <w:tcPr>
            <w:tcW w:w="2977" w:type="dxa"/>
            <w:tcBorders>
              <w:top w:val="single" w:sz="7" w:space="0" w:color="000000"/>
              <w:left w:val="single" w:sz="7" w:space="0" w:color="000000"/>
              <w:bottom w:val="single" w:sz="7" w:space="0" w:color="000000"/>
              <w:right w:val="single" w:sz="7" w:space="0" w:color="000000"/>
            </w:tcBorders>
          </w:tcPr>
          <w:p w14:paraId="3E9FC744" w14:textId="4413610C" w:rsidR="00CE4E28" w:rsidRPr="00C214B9" w:rsidRDefault="00CE4E28" w:rsidP="00CE4E28">
            <w:pPr>
              <w:rPr>
                <w:rFonts w:asciiTheme="minorHAnsi" w:hAnsiTheme="minorHAnsi" w:cstheme="minorHAnsi"/>
                <w:sz w:val="18"/>
                <w:szCs w:val="18"/>
              </w:rPr>
            </w:pPr>
            <w:r w:rsidRPr="00C214B9">
              <w:rPr>
                <w:rFonts w:asciiTheme="minorHAnsi" w:hAnsiTheme="minorHAnsi" w:cstheme="minorHAnsi"/>
                <w:sz w:val="18"/>
                <w:szCs w:val="18"/>
              </w:rPr>
              <w:t xml:space="preserve">Trigger: </w:t>
            </w:r>
            <w:r w:rsidR="00505C09">
              <w:rPr>
                <w:rFonts w:asciiTheme="minorHAnsi" w:hAnsiTheme="minorHAnsi" w:cstheme="minorHAnsi"/>
                <w:sz w:val="18"/>
                <w:szCs w:val="18"/>
              </w:rPr>
              <w:t>Policy renewal date</w:t>
            </w:r>
          </w:p>
          <w:p w14:paraId="12AC42E3" w14:textId="77777777" w:rsidR="00CE4E28" w:rsidRPr="00C214B9" w:rsidRDefault="00CE4E28" w:rsidP="00CE4E28">
            <w:pPr>
              <w:rPr>
                <w:rFonts w:asciiTheme="minorHAnsi" w:hAnsiTheme="minorHAnsi" w:cstheme="minorHAnsi"/>
                <w:sz w:val="18"/>
                <w:szCs w:val="18"/>
              </w:rPr>
            </w:pPr>
            <w:r w:rsidRPr="00C214B9">
              <w:rPr>
                <w:rFonts w:asciiTheme="minorHAnsi" w:hAnsiTheme="minorHAnsi" w:cstheme="minorHAnsi"/>
                <w:sz w:val="18"/>
                <w:szCs w:val="18"/>
              </w:rPr>
              <w:t>Minimum: Indefinitely</w:t>
            </w:r>
          </w:p>
          <w:p w14:paraId="758EC75E" w14:textId="77777777" w:rsidR="00CE4E28" w:rsidRPr="00CE7278" w:rsidRDefault="00CE4E28" w:rsidP="00CE4E28">
            <w:pPr>
              <w:rPr>
                <w:rFonts w:asciiTheme="minorHAnsi" w:hAnsiTheme="minorHAnsi" w:cstheme="minorHAnsi"/>
                <w:sz w:val="18"/>
                <w:szCs w:val="18"/>
              </w:rPr>
            </w:pPr>
            <w:r w:rsidRPr="00C214B9">
              <w:rPr>
                <w:rFonts w:asciiTheme="minorHAnsi" w:hAnsiTheme="minorHAnsi" w:cstheme="minorHAnsi"/>
                <w:sz w:val="18"/>
                <w:szCs w:val="18"/>
              </w:rPr>
              <w:t>Maximum: N/A</w:t>
            </w:r>
          </w:p>
        </w:tc>
        <w:tc>
          <w:tcPr>
            <w:tcW w:w="4961" w:type="dxa"/>
            <w:tcBorders>
              <w:top w:val="single" w:sz="7" w:space="0" w:color="000000"/>
              <w:left w:val="single" w:sz="7" w:space="0" w:color="000000"/>
              <w:bottom w:val="single" w:sz="7" w:space="0" w:color="000000"/>
              <w:right w:val="single" w:sz="7" w:space="0" w:color="000000"/>
            </w:tcBorders>
          </w:tcPr>
          <w:p w14:paraId="0183573D" w14:textId="77777777" w:rsidR="00CE4E28" w:rsidRPr="004E7362" w:rsidRDefault="00CE4E28" w:rsidP="00CE4E28">
            <w:pPr>
              <w:rPr>
                <w:rFonts w:asciiTheme="minorHAnsi" w:hAnsiTheme="minorHAnsi" w:cstheme="minorHAnsi"/>
                <w:sz w:val="18"/>
                <w:szCs w:val="18"/>
              </w:rPr>
            </w:pPr>
            <w:r w:rsidRPr="00C214B9">
              <w:rPr>
                <w:rFonts w:asciiTheme="minorHAnsi" w:hAnsiTheme="minorHAnsi" w:cstheme="minorHAnsi"/>
                <w:sz w:val="18"/>
                <w:szCs w:val="18"/>
              </w:rPr>
              <w:t>Selected in view of the possibility of claims being brought for a long period of time.</w:t>
            </w:r>
          </w:p>
        </w:tc>
        <w:tc>
          <w:tcPr>
            <w:tcW w:w="1418" w:type="dxa"/>
            <w:tcBorders>
              <w:top w:val="single" w:sz="7" w:space="0" w:color="000000"/>
              <w:left w:val="single" w:sz="7" w:space="0" w:color="000000"/>
              <w:bottom w:val="single" w:sz="7" w:space="0" w:color="000000"/>
              <w:right w:val="single" w:sz="7" w:space="0" w:color="000000"/>
            </w:tcBorders>
          </w:tcPr>
          <w:p w14:paraId="26B67CD4" w14:textId="72BC038E" w:rsidR="00CE4E28" w:rsidRPr="004E7362" w:rsidRDefault="00CE4E28" w:rsidP="00CE4E28">
            <w:pPr>
              <w:jc w:val="center"/>
              <w:rPr>
                <w:rFonts w:asciiTheme="minorHAnsi" w:hAnsiTheme="minorHAnsi" w:cstheme="minorHAnsi"/>
                <w:sz w:val="18"/>
                <w:szCs w:val="18"/>
              </w:rPr>
            </w:pPr>
            <w:r>
              <w:rPr>
                <w:rFonts w:asciiTheme="minorHAnsi" w:hAnsiTheme="minorHAnsi" w:cstheme="minorHAnsi"/>
                <w:sz w:val="18"/>
                <w:szCs w:val="18"/>
              </w:rPr>
              <w:t>BSGE Manager</w:t>
            </w:r>
          </w:p>
        </w:tc>
      </w:tr>
      <w:tr w:rsidR="009105FD" w:rsidRPr="00ED53AB" w14:paraId="12B8507C" w14:textId="77777777" w:rsidTr="005019A1">
        <w:trPr>
          <w:trHeight w:hRule="exact" w:val="985"/>
        </w:trPr>
        <w:tc>
          <w:tcPr>
            <w:tcW w:w="2715" w:type="dxa"/>
            <w:tcBorders>
              <w:top w:val="single" w:sz="7" w:space="0" w:color="000000"/>
              <w:left w:val="single" w:sz="7" w:space="0" w:color="000000"/>
              <w:bottom w:val="single" w:sz="7" w:space="0" w:color="000000"/>
              <w:right w:val="single" w:sz="7" w:space="0" w:color="000000"/>
            </w:tcBorders>
          </w:tcPr>
          <w:p w14:paraId="720B7F20" w14:textId="77777777" w:rsidR="009105FD" w:rsidRPr="00BC2CA8" w:rsidRDefault="009105FD" w:rsidP="005019A1">
            <w:pPr>
              <w:rPr>
                <w:rFonts w:asciiTheme="minorHAnsi" w:hAnsiTheme="minorHAnsi" w:cstheme="minorHAnsi"/>
                <w:sz w:val="18"/>
                <w:szCs w:val="18"/>
              </w:rPr>
            </w:pPr>
            <w:r w:rsidRPr="00BC2CA8">
              <w:rPr>
                <w:rFonts w:asciiTheme="minorHAnsi" w:hAnsiTheme="minorHAnsi" w:cstheme="minorHAnsi"/>
                <w:sz w:val="18"/>
                <w:szCs w:val="18"/>
              </w:rPr>
              <w:lastRenderedPageBreak/>
              <w:t>Payroll and wage records (including summaries of expenses, payments made on the employee’s behalf)</w:t>
            </w:r>
          </w:p>
        </w:tc>
        <w:tc>
          <w:tcPr>
            <w:tcW w:w="1418" w:type="dxa"/>
            <w:tcBorders>
              <w:top w:val="single" w:sz="7" w:space="0" w:color="000000"/>
              <w:left w:val="single" w:sz="7" w:space="0" w:color="000000"/>
              <w:bottom w:val="single" w:sz="7" w:space="0" w:color="000000"/>
              <w:right w:val="single" w:sz="7" w:space="0" w:color="000000"/>
            </w:tcBorders>
          </w:tcPr>
          <w:p w14:paraId="3E18EAB5" w14:textId="77777777" w:rsidR="009105FD" w:rsidRPr="00BC2CA8" w:rsidRDefault="009105FD" w:rsidP="005019A1">
            <w:pPr>
              <w:jc w:val="center"/>
              <w:rPr>
                <w:rFonts w:asciiTheme="minorHAnsi" w:hAnsiTheme="minorHAnsi" w:cstheme="minorHAnsi"/>
                <w:sz w:val="18"/>
                <w:szCs w:val="18"/>
              </w:rPr>
            </w:pPr>
          </w:p>
        </w:tc>
        <w:tc>
          <w:tcPr>
            <w:tcW w:w="2977" w:type="dxa"/>
            <w:tcBorders>
              <w:top w:val="single" w:sz="7" w:space="0" w:color="000000"/>
              <w:left w:val="single" w:sz="7" w:space="0" w:color="000000"/>
              <w:bottom w:val="single" w:sz="7" w:space="0" w:color="000000"/>
              <w:right w:val="single" w:sz="7" w:space="0" w:color="000000"/>
            </w:tcBorders>
          </w:tcPr>
          <w:p w14:paraId="5CF0F3CD" w14:textId="77777777" w:rsidR="009105FD" w:rsidRPr="006C013B" w:rsidRDefault="009105FD" w:rsidP="005019A1">
            <w:pPr>
              <w:rPr>
                <w:rFonts w:asciiTheme="minorHAnsi" w:hAnsiTheme="minorHAnsi" w:cstheme="minorHAnsi"/>
                <w:bCs/>
                <w:sz w:val="18"/>
                <w:szCs w:val="18"/>
              </w:rPr>
            </w:pPr>
          </w:p>
        </w:tc>
        <w:tc>
          <w:tcPr>
            <w:tcW w:w="4961" w:type="dxa"/>
            <w:tcBorders>
              <w:top w:val="single" w:sz="7" w:space="0" w:color="000000"/>
              <w:left w:val="single" w:sz="7" w:space="0" w:color="000000"/>
              <w:bottom w:val="single" w:sz="7" w:space="0" w:color="000000"/>
              <w:right w:val="single" w:sz="7" w:space="0" w:color="000000"/>
            </w:tcBorders>
          </w:tcPr>
          <w:p w14:paraId="22C5D558" w14:textId="77777777" w:rsidR="009105FD" w:rsidRPr="00BC2CA8" w:rsidRDefault="009105FD" w:rsidP="005019A1">
            <w:pPr>
              <w:rPr>
                <w:rFonts w:asciiTheme="minorHAnsi" w:hAnsiTheme="minorHAnsi" w:cstheme="minorHAnsi"/>
                <w:sz w:val="18"/>
                <w:szCs w:val="18"/>
              </w:rPr>
            </w:pPr>
            <w:r>
              <w:rPr>
                <w:rFonts w:asciiTheme="minorHAnsi" w:hAnsiTheme="minorHAnsi" w:cstheme="minorHAnsi"/>
                <w:sz w:val="18"/>
                <w:szCs w:val="18"/>
              </w:rPr>
              <w:t>BSGE do not have any employees. As determine by RCOG</w:t>
            </w:r>
          </w:p>
        </w:tc>
        <w:tc>
          <w:tcPr>
            <w:tcW w:w="1418" w:type="dxa"/>
            <w:tcBorders>
              <w:top w:val="single" w:sz="7" w:space="0" w:color="000000"/>
              <w:left w:val="single" w:sz="7" w:space="0" w:color="000000"/>
              <w:bottom w:val="single" w:sz="7" w:space="0" w:color="000000"/>
              <w:right w:val="single" w:sz="7" w:space="0" w:color="000000"/>
            </w:tcBorders>
          </w:tcPr>
          <w:p w14:paraId="1A964A97" w14:textId="77777777" w:rsidR="009105FD" w:rsidRPr="00BC2CA8" w:rsidRDefault="009105FD" w:rsidP="005019A1">
            <w:pPr>
              <w:jc w:val="center"/>
              <w:rPr>
                <w:rFonts w:asciiTheme="minorHAnsi" w:hAnsiTheme="minorHAnsi" w:cstheme="minorHAnsi"/>
                <w:sz w:val="18"/>
                <w:szCs w:val="18"/>
              </w:rPr>
            </w:pPr>
            <w:r>
              <w:rPr>
                <w:rFonts w:asciiTheme="minorHAnsi" w:hAnsiTheme="minorHAnsi" w:cstheme="minorHAnsi"/>
                <w:sz w:val="18"/>
                <w:szCs w:val="18"/>
              </w:rPr>
              <w:t>RCOG</w:t>
            </w:r>
          </w:p>
        </w:tc>
      </w:tr>
      <w:tr w:rsidR="009105FD" w:rsidRPr="00ED53AB" w14:paraId="57B27B69" w14:textId="77777777" w:rsidTr="009105FD">
        <w:trPr>
          <w:trHeight w:hRule="exact" w:val="1073"/>
        </w:trPr>
        <w:tc>
          <w:tcPr>
            <w:tcW w:w="2715" w:type="dxa"/>
            <w:tcBorders>
              <w:top w:val="single" w:sz="7" w:space="0" w:color="000000"/>
              <w:left w:val="single" w:sz="7" w:space="0" w:color="000000"/>
              <w:bottom w:val="single" w:sz="7" w:space="0" w:color="000000"/>
              <w:right w:val="single" w:sz="7" w:space="0" w:color="000000"/>
            </w:tcBorders>
          </w:tcPr>
          <w:p w14:paraId="43F45F6B" w14:textId="77777777" w:rsidR="009105FD" w:rsidRPr="00BC2CA8" w:rsidRDefault="009105FD" w:rsidP="005019A1">
            <w:pPr>
              <w:rPr>
                <w:rFonts w:asciiTheme="minorHAnsi" w:hAnsiTheme="minorHAnsi" w:cstheme="minorHAnsi"/>
                <w:sz w:val="18"/>
                <w:szCs w:val="18"/>
              </w:rPr>
            </w:pPr>
            <w:r w:rsidRPr="00BC2CA8">
              <w:rPr>
                <w:rFonts w:asciiTheme="minorHAnsi" w:hAnsiTheme="minorHAnsi" w:cstheme="minorHAnsi"/>
                <w:sz w:val="18"/>
                <w:szCs w:val="18"/>
              </w:rPr>
              <w:t>Job applications and interview records of unsuccessful candidates</w:t>
            </w:r>
          </w:p>
          <w:p w14:paraId="10FD5275" w14:textId="77777777" w:rsidR="009105FD" w:rsidRPr="00BC2CA8" w:rsidRDefault="009105FD" w:rsidP="005019A1">
            <w:pPr>
              <w:rPr>
                <w:rFonts w:asciiTheme="minorHAnsi" w:hAnsiTheme="minorHAnsi" w:cstheme="minorHAnsi"/>
                <w:sz w:val="18"/>
                <w:szCs w:val="18"/>
              </w:rPr>
            </w:pPr>
            <w:r w:rsidRPr="00BC2CA8">
              <w:rPr>
                <w:rFonts w:asciiTheme="minorHAnsi" w:hAnsiTheme="minorHAnsi" w:cstheme="minorHAnsi"/>
                <w:sz w:val="18"/>
                <w:szCs w:val="18"/>
              </w:rPr>
              <w:t>This includes unsolicited job applications and C.Vs</w:t>
            </w:r>
          </w:p>
        </w:tc>
        <w:tc>
          <w:tcPr>
            <w:tcW w:w="1418" w:type="dxa"/>
            <w:tcBorders>
              <w:top w:val="single" w:sz="7" w:space="0" w:color="000000"/>
              <w:left w:val="single" w:sz="7" w:space="0" w:color="000000"/>
              <w:bottom w:val="single" w:sz="7" w:space="0" w:color="000000"/>
              <w:right w:val="single" w:sz="7" w:space="0" w:color="000000"/>
            </w:tcBorders>
          </w:tcPr>
          <w:p w14:paraId="61510A06" w14:textId="77777777" w:rsidR="009105FD" w:rsidRPr="00BC2CA8" w:rsidRDefault="009105FD" w:rsidP="005019A1">
            <w:pPr>
              <w:jc w:val="center"/>
              <w:rPr>
                <w:rFonts w:asciiTheme="minorHAnsi" w:hAnsiTheme="minorHAnsi" w:cstheme="minorHAnsi"/>
                <w:sz w:val="18"/>
                <w:szCs w:val="18"/>
              </w:rPr>
            </w:pPr>
          </w:p>
        </w:tc>
        <w:tc>
          <w:tcPr>
            <w:tcW w:w="2977" w:type="dxa"/>
            <w:tcBorders>
              <w:top w:val="single" w:sz="7" w:space="0" w:color="000000"/>
              <w:left w:val="single" w:sz="7" w:space="0" w:color="000000"/>
              <w:bottom w:val="single" w:sz="7" w:space="0" w:color="000000"/>
              <w:right w:val="single" w:sz="7" w:space="0" w:color="000000"/>
            </w:tcBorders>
          </w:tcPr>
          <w:p w14:paraId="7CFA78DE" w14:textId="77777777" w:rsidR="009105FD" w:rsidRPr="006C013B" w:rsidRDefault="009105FD" w:rsidP="005019A1">
            <w:pPr>
              <w:rPr>
                <w:rFonts w:asciiTheme="minorHAnsi" w:hAnsiTheme="minorHAnsi" w:cstheme="minorHAnsi"/>
                <w:bCs/>
                <w:sz w:val="18"/>
                <w:szCs w:val="18"/>
              </w:rPr>
            </w:pPr>
          </w:p>
        </w:tc>
        <w:tc>
          <w:tcPr>
            <w:tcW w:w="4961" w:type="dxa"/>
            <w:tcBorders>
              <w:top w:val="single" w:sz="7" w:space="0" w:color="000000"/>
              <w:left w:val="single" w:sz="7" w:space="0" w:color="000000"/>
              <w:bottom w:val="single" w:sz="7" w:space="0" w:color="000000"/>
              <w:right w:val="single" w:sz="7" w:space="0" w:color="000000"/>
            </w:tcBorders>
          </w:tcPr>
          <w:p w14:paraId="2FFBE40C" w14:textId="77777777" w:rsidR="009105FD" w:rsidRPr="00BC2CA8" w:rsidRDefault="009105FD" w:rsidP="005019A1">
            <w:pPr>
              <w:rPr>
                <w:rFonts w:asciiTheme="minorHAnsi" w:hAnsiTheme="minorHAnsi" w:cstheme="minorHAnsi"/>
                <w:sz w:val="18"/>
                <w:szCs w:val="18"/>
              </w:rPr>
            </w:pPr>
            <w:r>
              <w:rPr>
                <w:rFonts w:asciiTheme="minorHAnsi" w:hAnsiTheme="minorHAnsi" w:cstheme="minorHAnsi"/>
                <w:sz w:val="18"/>
                <w:szCs w:val="18"/>
              </w:rPr>
              <w:t>BSGE do not have any employees. As determine by RCOG</w:t>
            </w:r>
          </w:p>
        </w:tc>
        <w:tc>
          <w:tcPr>
            <w:tcW w:w="1418" w:type="dxa"/>
            <w:tcBorders>
              <w:top w:val="single" w:sz="7" w:space="0" w:color="000000"/>
              <w:left w:val="single" w:sz="7" w:space="0" w:color="000000"/>
              <w:bottom w:val="single" w:sz="7" w:space="0" w:color="000000"/>
              <w:right w:val="single" w:sz="7" w:space="0" w:color="000000"/>
            </w:tcBorders>
          </w:tcPr>
          <w:p w14:paraId="6D685C86" w14:textId="77777777" w:rsidR="009105FD" w:rsidRPr="00BC2CA8" w:rsidRDefault="009105FD" w:rsidP="005019A1">
            <w:pPr>
              <w:jc w:val="center"/>
              <w:rPr>
                <w:rFonts w:asciiTheme="minorHAnsi" w:hAnsiTheme="minorHAnsi" w:cstheme="minorHAnsi"/>
                <w:sz w:val="18"/>
                <w:szCs w:val="18"/>
              </w:rPr>
            </w:pPr>
            <w:r>
              <w:rPr>
                <w:rFonts w:asciiTheme="minorHAnsi" w:hAnsiTheme="minorHAnsi" w:cstheme="minorHAnsi"/>
                <w:sz w:val="18"/>
                <w:szCs w:val="18"/>
              </w:rPr>
              <w:t>RCOG</w:t>
            </w:r>
          </w:p>
        </w:tc>
      </w:tr>
      <w:tr w:rsidR="009105FD" w:rsidRPr="00ED53AB" w14:paraId="50DD9955" w14:textId="77777777" w:rsidTr="005019A1">
        <w:trPr>
          <w:trHeight w:hRule="exact" w:val="1075"/>
        </w:trPr>
        <w:tc>
          <w:tcPr>
            <w:tcW w:w="2715" w:type="dxa"/>
            <w:tcBorders>
              <w:top w:val="single" w:sz="7" w:space="0" w:color="000000"/>
              <w:left w:val="single" w:sz="7" w:space="0" w:color="000000"/>
              <w:bottom w:val="single" w:sz="7" w:space="0" w:color="000000"/>
              <w:right w:val="single" w:sz="7" w:space="0" w:color="000000"/>
            </w:tcBorders>
          </w:tcPr>
          <w:p w14:paraId="7535595C" w14:textId="77777777" w:rsidR="009105FD" w:rsidRPr="00BC2CA8" w:rsidRDefault="009105FD" w:rsidP="005019A1">
            <w:pPr>
              <w:rPr>
                <w:rFonts w:asciiTheme="minorHAnsi" w:hAnsiTheme="minorHAnsi" w:cstheme="minorHAnsi"/>
                <w:sz w:val="18"/>
                <w:szCs w:val="18"/>
              </w:rPr>
            </w:pPr>
            <w:r w:rsidRPr="00BC2CA8">
              <w:rPr>
                <w:rFonts w:asciiTheme="minorHAnsi" w:hAnsiTheme="minorHAnsi" w:cstheme="minorHAnsi"/>
                <w:sz w:val="18"/>
                <w:szCs w:val="18"/>
              </w:rPr>
              <w:t>Accident reports and records, accident record books, health and safety policy, assessments re hazardous substances</w:t>
            </w:r>
          </w:p>
        </w:tc>
        <w:tc>
          <w:tcPr>
            <w:tcW w:w="1418" w:type="dxa"/>
            <w:tcBorders>
              <w:top w:val="single" w:sz="7" w:space="0" w:color="000000"/>
              <w:left w:val="single" w:sz="7" w:space="0" w:color="000000"/>
              <w:bottom w:val="single" w:sz="7" w:space="0" w:color="000000"/>
              <w:right w:val="single" w:sz="7" w:space="0" w:color="000000"/>
            </w:tcBorders>
          </w:tcPr>
          <w:p w14:paraId="1AB2260B" w14:textId="77777777" w:rsidR="009105FD" w:rsidRPr="00BC2CA8" w:rsidRDefault="009105FD" w:rsidP="005019A1">
            <w:pPr>
              <w:jc w:val="center"/>
              <w:rPr>
                <w:rFonts w:asciiTheme="minorHAnsi" w:hAnsiTheme="minorHAnsi" w:cstheme="minorHAnsi"/>
                <w:sz w:val="18"/>
                <w:szCs w:val="18"/>
              </w:rPr>
            </w:pPr>
          </w:p>
        </w:tc>
        <w:tc>
          <w:tcPr>
            <w:tcW w:w="2977" w:type="dxa"/>
            <w:tcBorders>
              <w:top w:val="single" w:sz="7" w:space="0" w:color="000000"/>
              <w:left w:val="single" w:sz="7" w:space="0" w:color="000000"/>
              <w:bottom w:val="single" w:sz="7" w:space="0" w:color="000000"/>
              <w:right w:val="single" w:sz="7" w:space="0" w:color="000000"/>
            </w:tcBorders>
          </w:tcPr>
          <w:p w14:paraId="3F6A4525" w14:textId="77777777" w:rsidR="009105FD" w:rsidRPr="006C013B" w:rsidRDefault="009105FD" w:rsidP="005019A1">
            <w:pPr>
              <w:rPr>
                <w:rFonts w:asciiTheme="minorHAnsi" w:hAnsiTheme="minorHAnsi" w:cstheme="minorHAnsi"/>
                <w:bCs/>
                <w:sz w:val="18"/>
                <w:szCs w:val="18"/>
              </w:rPr>
            </w:pPr>
          </w:p>
        </w:tc>
        <w:tc>
          <w:tcPr>
            <w:tcW w:w="4961" w:type="dxa"/>
            <w:tcBorders>
              <w:top w:val="single" w:sz="7" w:space="0" w:color="000000"/>
              <w:left w:val="single" w:sz="7" w:space="0" w:color="000000"/>
              <w:bottom w:val="single" w:sz="7" w:space="0" w:color="000000"/>
              <w:right w:val="single" w:sz="7" w:space="0" w:color="000000"/>
            </w:tcBorders>
          </w:tcPr>
          <w:p w14:paraId="6AEB6B6A" w14:textId="77777777" w:rsidR="009105FD" w:rsidRPr="00BC2CA8" w:rsidRDefault="009105FD" w:rsidP="005019A1">
            <w:pPr>
              <w:rPr>
                <w:rFonts w:asciiTheme="minorHAnsi" w:hAnsiTheme="minorHAnsi" w:cstheme="minorHAnsi"/>
                <w:sz w:val="18"/>
                <w:szCs w:val="18"/>
              </w:rPr>
            </w:pPr>
            <w:r>
              <w:rPr>
                <w:rFonts w:asciiTheme="minorHAnsi" w:hAnsiTheme="minorHAnsi" w:cstheme="minorHAnsi"/>
                <w:sz w:val="18"/>
                <w:szCs w:val="18"/>
              </w:rPr>
              <w:t>BSGE do not have any employees. As determine by RCOG</w:t>
            </w:r>
          </w:p>
        </w:tc>
        <w:tc>
          <w:tcPr>
            <w:tcW w:w="1418" w:type="dxa"/>
            <w:tcBorders>
              <w:top w:val="single" w:sz="7" w:space="0" w:color="000000"/>
              <w:left w:val="single" w:sz="7" w:space="0" w:color="000000"/>
              <w:bottom w:val="single" w:sz="7" w:space="0" w:color="000000"/>
              <w:right w:val="single" w:sz="7" w:space="0" w:color="000000"/>
            </w:tcBorders>
          </w:tcPr>
          <w:p w14:paraId="6484AC94" w14:textId="77777777" w:rsidR="009105FD" w:rsidRPr="00BC2CA8" w:rsidRDefault="009105FD" w:rsidP="005019A1">
            <w:pPr>
              <w:jc w:val="center"/>
              <w:rPr>
                <w:rFonts w:asciiTheme="minorHAnsi" w:hAnsiTheme="minorHAnsi" w:cstheme="minorHAnsi"/>
                <w:sz w:val="18"/>
                <w:szCs w:val="18"/>
              </w:rPr>
            </w:pPr>
            <w:r>
              <w:rPr>
                <w:rFonts w:asciiTheme="minorHAnsi" w:hAnsiTheme="minorHAnsi" w:cstheme="minorHAnsi"/>
                <w:sz w:val="18"/>
                <w:szCs w:val="18"/>
              </w:rPr>
              <w:t>RCOG</w:t>
            </w:r>
          </w:p>
        </w:tc>
      </w:tr>
      <w:tr w:rsidR="009105FD" w:rsidRPr="00ED53AB" w14:paraId="5F290B21" w14:textId="77777777" w:rsidTr="009105FD">
        <w:trPr>
          <w:trHeight w:hRule="exact" w:val="707"/>
        </w:trPr>
        <w:tc>
          <w:tcPr>
            <w:tcW w:w="2715" w:type="dxa"/>
            <w:tcBorders>
              <w:top w:val="single" w:sz="7" w:space="0" w:color="000000"/>
              <w:left w:val="single" w:sz="7" w:space="0" w:color="000000"/>
              <w:bottom w:val="single" w:sz="7" w:space="0" w:color="000000"/>
              <w:right w:val="single" w:sz="7" w:space="0" w:color="000000"/>
            </w:tcBorders>
          </w:tcPr>
          <w:p w14:paraId="60503D79" w14:textId="77777777" w:rsidR="009105FD" w:rsidRPr="00BC2CA8" w:rsidRDefault="009105FD" w:rsidP="005019A1">
            <w:pPr>
              <w:rPr>
                <w:rFonts w:asciiTheme="minorHAnsi" w:hAnsiTheme="minorHAnsi" w:cstheme="minorHAnsi"/>
                <w:sz w:val="18"/>
                <w:szCs w:val="18"/>
              </w:rPr>
            </w:pPr>
            <w:r w:rsidRPr="00BC2CA8">
              <w:rPr>
                <w:rFonts w:asciiTheme="minorHAnsi" w:hAnsiTheme="minorHAnsi" w:cstheme="minorHAnsi"/>
                <w:sz w:val="18"/>
                <w:szCs w:val="18"/>
              </w:rPr>
              <w:t xml:space="preserve">Medical files </w:t>
            </w:r>
            <w:r>
              <w:rPr>
                <w:rFonts w:asciiTheme="minorHAnsi" w:hAnsiTheme="minorHAnsi" w:cstheme="minorHAnsi"/>
                <w:sz w:val="18"/>
                <w:szCs w:val="18"/>
              </w:rPr>
              <w:t>where relevant to the roles for making ‘reasonable adjustment’ determinations.</w:t>
            </w:r>
          </w:p>
        </w:tc>
        <w:tc>
          <w:tcPr>
            <w:tcW w:w="1418" w:type="dxa"/>
            <w:tcBorders>
              <w:top w:val="single" w:sz="7" w:space="0" w:color="000000"/>
              <w:left w:val="single" w:sz="7" w:space="0" w:color="000000"/>
              <w:bottom w:val="single" w:sz="7" w:space="0" w:color="000000"/>
              <w:right w:val="single" w:sz="7" w:space="0" w:color="000000"/>
            </w:tcBorders>
          </w:tcPr>
          <w:p w14:paraId="015344DF" w14:textId="77777777" w:rsidR="009105FD" w:rsidRPr="00BC2CA8" w:rsidRDefault="009105FD" w:rsidP="005019A1">
            <w:pPr>
              <w:jc w:val="center"/>
              <w:rPr>
                <w:rFonts w:asciiTheme="minorHAnsi" w:hAnsiTheme="minorHAnsi" w:cstheme="minorHAnsi"/>
                <w:sz w:val="18"/>
                <w:szCs w:val="18"/>
              </w:rPr>
            </w:pPr>
          </w:p>
        </w:tc>
        <w:tc>
          <w:tcPr>
            <w:tcW w:w="2977" w:type="dxa"/>
            <w:tcBorders>
              <w:top w:val="single" w:sz="7" w:space="0" w:color="000000"/>
              <w:left w:val="single" w:sz="7" w:space="0" w:color="000000"/>
              <w:bottom w:val="single" w:sz="7" w:space="0" w:color="000000"/>
              <w:right w:val="single" w:sz="7" w:space="0" w:color="000000"/>
            </w:tcBorders>
          </w:tcPr>
          <w:p w14:paraId="7285C06D" w14:textId="77777777" w:rsidR="009105FD" w:rsidRPr="006C013B" w:rsidRDefault="009105FD" w:rsidP="005019A1">
            <w:pPr>
              <w:rPr>
                <w:rFonts w:asciiTheme="minorHAnsi" w:hAnsiTheme="minorHAnsi" w:cstheme="minorHAnsi"/>
                <w:bCs/>
                <w:sz w:val="18"/>
                <w:szCs w:val="18"/>
              </w:rPr>
            </w:pPr>
          </w:p>
        </w:tc>
        <w:tc>
          <w:tcPr>
            <w:tcW w:w="4961" w:type="dxa"/>
            <w:tcBorders>
              <w:top w:val="single" w:sz="7" w:space="0" w:color="000000"/>
              <w:left w:val="single" w:sz="7" w:space="0" w:color="000000"/>
              <w:bottom w:val="single" w:sz="7" w:space="0" w:color="000000"/>
              <w:right w:val="single" w:sz="7" w:space="0" w:color="000000"/>
            </w:tcBorders>
          </w:tcPr>
          <w:p w14:paraId="10341641" w14:textId="77777777" w:rsidR="009105FD" w:rsidRPr="00BC2CA8" w:rsidRDefault="009105FD" w:rsidP="005019A1">
            <w:pPr>
              <w:rPr>
                <w:rFonts w:asciiTheme="minorHAnsi" w:hAnsiTheme="minorHAnsi" w:cstheme="minorHAnsi"/>
                <w:sz w:val="18"/>
                <w:szCs w:val="18"/>
              </w:rPr>
            </w:pPr>
            <w:r>
              <w:rPr>
                <w:rFonts w:asciiTheme="minorHAnsi" w:hAnsiTheme="minorHAnsi" w:cstheme="minorHAnsi"/>
                <w:sz w:val="18"/>
                <w:szCs w:val="18"/>
              </w:rPr>
              <w:t>BSGE do not have any employees. As determine by RCOG</w:t>
            </w:r>
          </w:p>
        </w:tc>
        <w:tc>
          <w:tcPr>
            <w:tcW w:w="1418" w:type="dxa"/>
            <w:tcBorders>
              <w:top w:val="single" w:sz="7" w:space="0" w:color="000000"/>
              <w:left w:val="single" w:sz="7" w:space="0" w:color="000000"/>
              <w:bottom w:val="single" w:sz="7" w:space="0" w:color="000000"/>
              <w:right w:val="single" w:sz="7" w:space="0" w:color="000000"/>
            </w:tcBorders>
          </w:tcPr>
          <w:p w14:paraId="394675FC" w14:textId="77777777" w:rsidR="009105FD" w:rsidRPr="00BC2CA8" w:rsidRDefault="009105FD" w:rsidP="005019A1">
            <w:pPr>
              <w:jc w:val="center"/>
              <w:rPr>
                <w:rFonts w:asciiTheme="minorHAnsi" w:hAnsiTheme="minorHAnsi" w:cstheme="minorHAnsi"/>
                <w:sz w:val="18"/>
                <w:szCs w:val="18"/>
              </w:rPr>
            </w:pPr>
            <w:r>
              <w:rPr>
                <w:rFonts w:asciiTheme="minorHAnsi" w:hAnsiTheme="minorHAnsi" w:cstheme="minorHAnsi"/>
                <w:sz w:val="18"/>
                <w:szCs w:val="18"/>
              </w:rPr>
              <w:t>RCOG</w:t>
            </w:r>
          </w:p>
        </w:tc>
      </w:tr>
      <w:tr w:rsidR="009105FD" w:rsidRPr="00ED53AB" w14:paraId="0661C7F4" w14:textId="77777777" w:rsidTr="005019A1">
        <w:trPr>
          <w:trHeight w:hRule="exact" w:val="1269"/>
        </w:trPr>
        <w:tc>
          <w:tcPr>
            <w:tcW w:w="2715" w:type="dxa"/>
            <w:tcBorders>
              <w:top w:val="single" w:sz="7" w:space="0" w:color="000000"/>
              <w:left w:val="single" w:sz="7" w:space="0" w:color="000000"/>
              <w:bottom w:val="single" w:sz="7" w:space="0" w:color="000000"/>
              <w:right w:val="single" w:sz="7" w:space="0" w:color="000000"/>
            </w:tcBorders>
          </w:tcPr>
          <w:p w14:paraId="3D9158B9" w14:textId="77777777" w:rsidR="009105FD" w:rsidRPr="00BC2CA8" w:rsidRDefault="009105FD" w:rsidP="005019A1">
            <w:pPr>
              <w:rPr>
                <w:rFonts w:asciiTheme="minorHAnsi" w:hAnsiTheme="minorHAnsi" w:cstheme="minorHAnsi"/>
                <w:sz w:val="18"/>
                <w:szCs w:val="18"/>
              </w:rPr>
            </w:pPr>
            <w:r w:rsidRPr="00BC2CA8">
              <w:rPr>
                <w:rFonts w:asciiTheme="minorHAnsi" w:hAnsiTheme="minorHAnsi" w:cstheme="minorHAnsi"/>
                <w:sz w:val="18"/>
                <w:szCs w:val="18"/>
              </w:rPr>
              <w:t>Employees’ Pension Scheme Documentation</w:t>
            </w:r>
          </w:p>
          <w:p w14:paraId="0C0587FA" w14:textId="77777777" w:rsidR="009105FD" w:rsidRPr="00BC2CA8" w:rsidRDefault="009105FD" w:rsidP="005019A1">
            <w:pPr>
              <w:rPr>
                <w:rFonts w:asciiTheme="minorHAnsi" w:hAnsiTheme="minorHAnsi" w:cstheme="minorHAnsi"/>
                <w:sz w:val="18"/>
                <w:szCs w:val="18"/>
              </w:rPr>
            </w:pPr>
            <w:r w:rsidRPr="00BC2CA8">
              <w:rPr>
                <w:rFonts w:asciiTheme="minorHAnsi" w:hAnsiTheme="minorHAnsi" w:cstheme="minorHAnsi"/>
                <w:sz w:val="18"/>
                <w:szCs w:val="18"/>
              </w:rPr>
              <w:t>- Documents relating to Employee Pension Scheme save for documents relating to trusts</w:t>
            </w:r>
          </w:p>
        </w:tc>
        <w:tc>
          <w:tcPr>
            <w:tcW w:w="1418" w:type="dxa"/>
            <w:tcBorders>
              <w:top w:val="single" w:sz="7" w:space="0" w:color="000000"/>
              <w:left w:val="single" w:sz="7" w:space="0" w:color="000000"/>
              <w:bottom w:val="single" w:sz="7" w:space="0" w:color="000000"/>
              <w:right w:val="single" w:sz="7" w:space="0" w:color="000000"/>
            </w:tcBorders>
          </w:tcPr>
          <w:p w14:paraId="4B3E4255" w14:textId="77777777" w:rsidR="009105FD" w:rsidRPr="00BC2CA8" w:rsidRDefault="009105FD" w:rsidP="005019A1">
            <w:pPr>
              <w:jc w:val="center"/>
              <w:rPr>
                <w:rFonts w:asciiTheme="minorHAnsi" w:hAnsiTheme="minorHAnsi" w:cstheme="minorHAnsi"/>
                <w:sz w:val="18"/>
                <w:szCs w:val="18"/>
              </w:rPr>
            </w:pPr>
          </w:p>
        </w:tc>
        <w:tc>
          <w:tcPr>
            <w:tcW w:w="2977" w:type="dxa"/>
            <w:tcBorders>
              <w:top w:val="single" w:sz="7" w:space="0" w:color="000000"/>
              <w:left w:val="single" w:sz="7" w:space="0" w:color="000000"/>
              <w:bottom w:val="single" w:sz="7" w:space="0" w:color="000000"/>
              <w:right w:val="single" w:sz="7" w:space="0" w:color="000000"/>
            </w:tcBorders>
          </w:tcPr>
          <w:p w14:paraId="2E839FC8" w14:textId="77777777" w:rsidR="009105FD" w:rsidRPr="006C013B" w:rsidRDefault="009105FD" w:rsidP="005019A1">
            <w:pPr>
              <w:rPr>
                <w:rFonts w:asciiTheme="minorHAnsi" w:hAnsiTheme="minorHAnsi" w:cstheme="minorHAnsi"/>
                <w:bCs/>
                <w:i/>
                <w:sz w:val="18"/>
                <w:szCs w:val="18"/>
              </w:rPr>
            </w:pPr>
            <w:r w:rsidRPr="006C013B">
              <w:rPr>
                <w:rFonts w:asciiTheme="minorHAnsi" w:hAnsiTheme="minorHAnsi" w:cstheme="minorHAnsi"/>
                <w:bCs/>
                <w:sz w:val="18"/>
                <w:szCs w:val="18"/>
              </w:rPr>
              <w:t xml:space="preserve"> </w:t>
            </w:r>
          </w:p>
        </w:tc>
        <w:tc>
          <w:tcPr>
            <w:tcW w:w="4961" w:type="dxa"/>
            <w:tcBorders>
              <w:top w:val="single" w:sz="7" w:space="0" w:color="000000"/>
              <w:left w:val="single" w:sz="7" w:space="0" w:color="000000"/>
              <w:bottom w:val="single" w:sz="7" w:space="0" w:color="000000"/>
              <w:right w:val="single" w:sz="7" w:space="0" w:color="000000"/>
            </w:tcBorders>
          </w:tcPr>
          <w:p w14:paraId="0A957A86" w14:textId="77777777" w:rsidR="009105FD" w:rsidRPr="00BC2CA8" w:rsidRDefault="009105FD" w:rsidP="005019A1">
            <w:pPr>
              <w:rPr>
                <w:rFonts w:asciiTheme="minorHAnsi" w:hAnsiTheme="minorHAnsi" w:cstheme="minorHAnsi"/>
                <w:sz w:val="18"/>
                <w:szCs w:val="18"/>
              </w:rPr>
            </w:pPr>
            <w:r>
              <w:rPr>
                <w:rFonts w:asciiTheme="minorHAnsi" w:hAnsiTheme="minorHAnsi" w:cstheme="minorHAnsi"/>
                <w:sz w:val="18"/>
                <w:szCs w:val="18"/>
              </w:rPr>
              <w:t>BSGE do not have any employees. As determine by RCOG</w:t>
            </w:r>
          </w:p>
        </w:tc>
        <w:tc>
          <w:tcPr>
            <w:tcW w:w="1418" w:type="dxa"/>
            <w:tcBorders>
              <w:top w:val="single" w:sz="7" w:space="0" w:color="000000"/>
              <w:left w:val="single" w:sz="7" w:space="0" w:color="000000"/>
              <w:bottom w:val="single" w:sz="7" w:space="0" w:color="000000"/>
              <w:right w:val="single" w:sz="7" w:space="0" w:color="000000"/>
            </w:tcBorders>
          </w:tcPr>
          <w:p w14:paraId="238A295E" w14:textId="77777777" w:rsidR="009105FD" w:rsidRPr="00BC2CA8" w:rsidRDefault="009105FD" w:rsidP="005019A1">
            <w:pPr>
              <w:jc w:val="center"/>
              <w:rPr>
                <w:rFonts w:asciiTheme="minorHAnsi" w:hAnsiTheme="minorHAnsi" w:cstheme="minorHAnsi"/>
                <w:sz w:val="18"/>
                <w:szCs w:val="18"/>
              </w:rPr>
            </w:pPr>
            <w:r>
              <w:rPr>
                <w:rFonts w:asciiTheme="minorHAnsi" w:hAnsiTheme="minorHAnsi" w:cstheme="minorHAnsi"/>
                <w:sz w:val="18"/>
                <w:szCs w:val="18"/>
              </w:rPr>
              <w:t>RCOG</w:t>
            </w:r>
          </w:p>
        </w:tc>
      </w:tr>
      <w:tr w:rsidR="009105FD" w:rsidRPr="00BC2CA8" w14:paraId="5557842B" w14:textId="77777777" w:rsidTr="009105FD">
        <w:trPr>
          <w:trHeight w:hRule="exact" w:val="555"/>
        </w:trPr>
        <w:tc>
          <w:tcPr>
            <w:tcW w:w="2715" w:type="dxa"/>
            <w:tcBorders>
              <w:top w:val="single" w:sz="7" w:space="0" w:color="000000"/>
              <w:left w:val="single" w:sz="7" w:space="0" w:color="000000"/>
              <w:bottom w:val="single" w:sz="7" w:space="0" w:color="000000"/>
              <w:right w:val="single" w:sz="7" w:space="0" w:color="000000"/>
            </w:tcBorders>
          </w:tcPr>
          <w:p w14:paraId="70409615" w14:textId="77777777" w:rsidR="009105FD" w:rsidRPr="00BC2CA8" w:rsidRDefault="009105FD" w:rsidP="005019A1">
            <w:pPr>
              <w:rPr>
                <w:rFonts w:asciiTheme="minorHAnsi" w:hAnsiTheme="minorHAnsi" w:cstheme="minorHAnsi"/>
                <w:sz w:val="18"/>
                <w:szCs w:val="18"/>
              </w:rPr>
            </w:pPr>
            <w:r w:rsidRPr="00BC2CA8">
              <w:rPr>
                <w:rFonts w:asciiTheme="minorHAnsi" w:hAnsiTheme="minorHAnsi" w:cstheme="minorHAnsi"/>
                <w:sz w:val="18"/>
                <w:szCs w:val="18"/>
              </w:rPr>
              <w:t>Employees’ Pension Scheme Documentation</w:t>
            </w:r>
          </w:p>
        </w:tc>
        <w:tc>
          <w:tcPr>
            <w:tcW w:w="1418" w:type="dxa"/>
            <w:tcBorders>
              <w:top w:val="single" w:sz="7" w:space="0" w:color="000000"/>
              <w:left w:val="single" w:sz="7" w:space="0" w:color="000000"/>
              <w:bottom w:val="single" w:sz="7" w:space="0" w:color="000000"/>
              <w:right w:val="single" w:sz="7" w:space="0" w:color="000000"/>
            </w:tcBorders>
          </w:tcPr>
          <w:p w14:paraId="78CA978A" w14:textId="77777777" w:rsidR="009105FD" w:rsidRPr="00BC2CA8" w:rsidRDefault="009105FD" w:rsidP="005019A1">
            <w:pPr>
              <w:jc w:val="center"/>
              <w:rPr>
                <w:rFonts w:asciiTheme="minorHAnsi" w:hAnsiTheme="minorHAnsi" w:cstheme="minorHAnsi"/>
                <w:sz w:val="18"/>
                <w:szCs w:val="18"/>
              </w:rPr>
            </w:pPr>
          </w:p>
        </w:tc>
        <w:tc>
          <w:tcPr>
            <w:tcW w:w="2977" w:type="dxa"/>
            <w:tcBorders>
              <w:top w:val="single" w:sz="7" w:space="0" w:color="000000"/>
              <w:left w:val="single" w:sz="7" w:space="0" w:color="000000"/>
              <w:bottom w:val="single" w:sz="7" w:space="0" w:color="000000"/>
              <w:right w:val="single" w:sz="7" w:space="0" w:color="000000"/>
            </w:tcBorders>
          </w:tcPr>
          <w:p w14:paraId="0F248957" w14:textId="77777777" w:rsidR="009105FD" w:rsidRPr="00BC2CA8" w:rsidRDefault="009105FD" w:rsidP="005019A1">
            <w:pPr>
              <w:rPr>
                <w:rFonts w:asciiTheme="minorHAnsi" w:hAnsiTheme="minorHAnsi" w:cstheme="minorHAnsi"/>
                <w:b/>
                <w:i/>
                <w:sz w:val="18"/>
                <w:szCs w:val="18"/>
              </w:rPr>
            </w:pPr>
          </w:p>
        </w:tc>
        <w:tc>
          <w:tcPr>
            <w:tcW w:w="4961" w:type="dxa"/>
            <w:tcBorders>
              <w:top w:val="single" w:sz="7" w:space="0" w:color="000000"/>
              <w:left w:val="single" w:sz="7" w:space="0" w:color="000000"/>
              <w:bottom w:val="single" w:sz="7" w:space="0" w:color="000000"/>
              <w:right w:val="single" w:sz="7" w:space="0" w:color="000000"/>
            </w:tcBorders>
          </w:tcPr>
          <w:p w14:paraId="07B579FE" w14:textId="77777777" w:rsidR="009105FD" w:rsidRPr="00BC2CA8" w:rsidRDefault="009105FD" w:rsidP="005019A1">
            <w:pPr>
              <w:rPr>
                <w:rFonts w:asciiTheme="minorHAnsi" w:hAnsiTheme="minorHAnsi" w:cstheme="minorHAnsi"/>
                <w:sz w:val="18"/>
                <w:szCs w:val="18"/>
              </w:rPr>
            </w:pPr>
            <w:r>
              <w:rPr>
                <w:rFonts w:asciiTheme="minorHAnsi" w:hAnsiTheme="minorHAnsi" w:cstheme="minorHAnsi"/>
                <w:sz w:val="18"/>
                <w:szCs w:val="18"/>
              </w:rPr>
              <w:t>BSGE do not have any employees. As determine by RCOG</w:t>
            </w:r>
          </w:p>
        </w:tc>
        <w:tc>
          <w:tcPr>
            <w:tcW w:w="1418" w:type="dxa"/>
            <w:tcBorders>
              <w:top w:val="single" w:sz="7" w:space="0" w:color="000000"/>
              <w:left w:val="single" w:sz="7" w:space="0" w:color="000000"/>
              <w:bottom w:val="single" w:sz="7" w:space="0" w:color="000000"/>
              <w:right w:val="single" w:sz="7" w:space="0" w:color="000000"/>
            </w:tcBorders>
          </w:tcPr>
          <w:p w14:paraId="5815BF44" w14:textId="77777777" w:rsidR="009105FD" w:rsidRPr="00BC2CA8" w:rsidRDefault="009105FD" w:rsidP="005019A1">
            <w:pPr>
              <w:jc w:val="center"/>
              <w:rPr>
                <w:rFonts w:asciiTheme="minorHAnsi" w:hAnsiTheme="minorHAnsi" w:cstheme="minorHAnsi"/>
                <w:sz w:val="18"/>
                <w:szCs w:val="18"/>
              </w:rPr>
            </w:pPr>
            <w:r>
              <w:rPr>
                <w:rFonts w:asciiTheme="minorHAnsi" w:hAnsiTheme="minorHAnsi" w:cstheme="minorHAnsi"/>
                <w:sz w:val="18"/>
                <w:szCs w:val="18"/>
              </w:rPr>
              <w:t>RCOG</w:t>
            </w:r>
          </w:p>
        </w:tc>
      </w:tr>
      <w:tr w:rsidR="009105FD" w:rsidRPr="00BC2CA8" w14:paraId="469C3AE2" w14:textId="77777777" w:rsidTr="009105FD">
        <w:trPr>
          <w:trHeight w:hRule="exact" w:val="453"/>
        </w:trPr>
        <w:tc>
          <w:tcPr>
            <w:tcW w:w="2715" w:type="dxa"/>
            <w:tcBorders>
              <w:top w:val="single" w:sz="7" w:space="0" w:color="000000"/>
              <w:left w:val="single" w:sz="7" w:space="0" w:color="000000"/>
              <w:bottom w:val="single" w:sz="7" w:space="0" w:color="000000"/>
              <w:right w:val="single" w:sz="7" w:space="0" w:color="000000"/>
            </w:tcBorders>
          </w:tcPr>
          <w:p w14:paraId="1976581D" w14:textId="77777777" w:rsidR="009105FD" w:rsidRPr="00BC2CA8" w:rsidRDefault="009105FD" w:rsidP="005019A1">
            <w:pPr>
              <w:rPr>
                <w:rFonts w:asciiTheme="minorHAnsi" w:hAnsiTheme="minorHAnsi" w:cstheme="minorHAnsi"/>
                <w:sz w:val="18"/>
                <w:szCs w:val="18"/>
              </w:rPr>
            </w:pPr>
            <w:r w:rsidRPr="00BC2CA8">
              <w:rPr>
                <w:rFonts w:asciiTheme="minorHAnsi" w:hAnsiTheme="minorHAnsi" w:cstheme="minorHAnsi"/>
                <w:sz w:val="18"/>
                <w:szCs w:val="18"/>
              </w:rPr>
              <w:t xml:space="preserve">Immigration </w:t>
            </w:r>
            <w:r>
              <w:rPr>
                <w:rFonts w:asciiTheme="minorHAnsi" w:hAnsiTheme="minorHAnsi" w:cstheme="minorHAnsi"/>
                <w:sz w:val="18"/>
                <w:szCs w:val="18"/>
              </w:rPr>
              <w:t xml:space="preserve">/ right to work </w:t>
            </w:r>
            <w:r w:rsidRPr="00BC2CA8">
              <w:rPr>
                <w:rFonts w:asciiTheme="minorHAnsi" w:hAnsiTheme="minorHAnsi" w:cstheme="minorHAnsi"/>
                <w:sz w:val="18"/>
                <w:szCs w:val="18"/>
              </w:rPr>
              <w:t>checks</w:t>
            </w:r>
          </w:p>
        </w:tc>
        <w:tc>
          <w:tcPr>
            <w:tcW w:w="1418" w:type="dxa"/>
            <w:tcBorders>
              <w:top w:val="single" w:sz="7" w:space="0" w:color="000000"/>
              <w:left w:val="single" w:sz="7" w:space="0" w:color="000000"/>
              <w:bottom w:val="single" w:sz="7" w:space="0" w:color="000000"/>
              <w:right w:val="single" w:sz="7" w:space="0" w:color="000000"/>
            </w:tcBorders>
          </w:tcPr>
          <w:p w14:paraId="6C1F18FD" w14:textId="77777777" w:rsidR="009105FD" w:rsidRPr="00BC2CA8" w:rsidRDefault="009105FD" w:rsidP="005019A1">
            <w:pPr>
              <w:jc w:val="center"/>
              <w:rPr>
                <w:rFonts w:asciiTheme="minorHAnsi" w:hAnsiTheme="minorHAnsi" w:cstheme="minorHAnsi"/>
                <w:sz w:val="18"/>
                <w:szCs w:val="18"/>
              </w:rPr>
            </w:pPr>
          </w:p>
        </w:tc>
        <w:tc>
          <w:tcPr>
            <w:tcW w:w="2977" w:type="dxa"/>
            <w:tcBorders>
              <w:top w:val="single" w:sz="7" w:space="0" w:color="000000"/>
              <w:left w:val="single" w:sz="7" w:space="0" w:color="000000"/>
              <w:bottom w:val="single" w:sz="7" w:space="0" w:color="000000"/>
              <w:right w:val="single" w:sz="7" w:space="0" w:color="000000"/>
            </w:tcBorders>
          </w:tcPr>
          <w:p w14:paraId="000E948E" w14:textId="77777777" w:rsidR="009105FD" w:rsidRPr="00BC2CA8" w:rsidRDefault="009105FD" w:rsidP="005019A1">
            <w:pPr>
              <w:rPr>
                <w:rFonts w:asciiTheme="minorHAnsi" w:hAnsiTheme="minorHAnsi" w:cstheme="minorHAnsi"/>
                <w:b/>
                <w:i/>
                <w:sz w:val="18"/>
                <w:szCs w:val="18"/>
              </w:rPr>
            </w:pPr>
          </w:p>
        </w:tc>
        <w:tc>
          <w:tcPr>
            <w:tcW w:w="4961" w:type="dxa"/>
            <w:tcBorders>
              <w:top w:val="single" w:sz="7" w:space="0" w:color="000000"/>
              <w:left w:val="single" w:sz="7" w:space="0" w:color="000000"/>
              <w:bottom w:val="single" w:sz="7" w:space="0" w:color="000000"/>
              <w:right w:val="single" w:sz="7" w:space="0" w:color="000000"/>
            </w:tcBorders>
          </w:tcPr>
          <w:p w14:paraId="4A65BBC4" w14:textId="77777777" w:rsidR="009105FD" w:rsidRPr="00BC2CA8" w:rsidRDefault="009105FD" w:rsidP="005019A1">
            <w:pPr>
              <w:rPr>
                <w:rFonts w:asciiTheme="minorHAnsi" w:hAnsiTheme="minorHAnsi" w:cstheme="minorHAnsi"/>
                <w:sz w:val="18"/>
                <w:szCs w:val="18"/>
              </w:rPr>
            </w:pPr>
            <w:r>
              <w:rPr>
                <w:rFonts w:asciiTheme="minorHAnsi" w:hAnsiTheme="minorHAnsi" w:cstheme="minorHAnsi"/>
                <w:sz w:val="18"/>
                <w:szCs w:val="18"/>
              </w:rPr>
              <w:t>BSGE do not have any employees. As determine by RCOG</w:t>
            </w:r>
          </w:p>
        </w:tc>
        <w:tc>
          <w:tcPr>
            <w:tcW w:w="1418" w:type="dxa"/>
            <w:tcBorders>
              <w:top w:val="single" w:sz="7" w:space="0" w:color="000000"/>
              <w:left w:val="single" w:sz="7" w:space="0" w:color="000000"/>
              <w:bottom w:val="single" w:sz="7" w:space="0" w:color="000000"/>
              <w:right w:val="single" w:sz="7" w:space="0" w:color="000000"/>
            </w:tcBorders>
          </w:tcPr>
          <w:p w14:paraId="3BE1202D" w14:textId="77777777" w:rsidR="009105FD" w:rsidRPr="00BC2CA8" w:rsidRDefault="009105FD" w:rsidP="005019A1">
            <w:pPr>
              <w:jc w:val="center"/>
              <w:rPr>
                <w:rFonts w:asciiTheme="minorHAnsi" w:hAnsiTheme="minorHAnsi" w:cstheme="minorHAnsi"/>
                <w:sz w:val="18"/>
                <w:szCs w:val="18"/>
              </w:rPr>
            </w:pPr>
            <w:r>
              <w:rPr>
                <w:rFonts w:asciiTheme="minorHAnsi" w:hAnsiTheme="minorHAnsi" w:cstheme="minorHAnsi"/>
                <w:sz w:val="18"/>
                <w:szCs w:val="18"/>
              </w:rPr>
              <w:t>RCOG</w:t>
            </w:r>
          </w:p>
        </w:tc>
      </w:tr>
      <w:tr w:rsidR="009105FD" w:rsidRPr="00BC2CA8" w14:paraId="30294497" w14:textId="77777777" w:rsidTr="009105FD">
        <w:trPr>
          <w:trHeight w:hRule="exact" w:val="878"/>
        </w:trPr>
        <w:tc>
          <w:tcPr>
            <w:tcW w:w="2715" w:type="dxa"/>
            <w:tcBorders>
              <w:top w:val="single" w:sz="7" w:space="0" w:color="000000"/>
              <w:left w:val="single" w:sz="7" w:space="0" w:color="000000"/>
              <w:bottom w:val="single" w:sz="7" w:space="0" w:color="000000"/>
              <w:right w:val="single" w:sz="7" w:space="0" w:color="000000"/>
            </w:tcBorders>
          </w:tcPr>
          <w:p w14:paraId="728BD673" w14:textId="77777777" w:rsidR="009105FD" w:rsidRPr="00BC2CA8" w:rsidRDefault="009105FD" w:rsidP="005019A1">
            <w:pPr>
              <w:rPr>
                <w:rFonts w:asciiTheme="minorHAnsi" w:hAnsiTheme="minorHAnsi" w:cstheme="minorHAnsi"/>
                <w:sz w:val="18"/>
                <w:szCs w:val="18"/>
              </w:rPr>
            </w:pPr>
            <w:r w:rsidRPr="00BC2CA8">
              <w:rPr>
                <w:rFonts w:asciiTheme="minorHAnsi" w:hAnsiTheme="minorHAnsi" w:cstheme="minorHAnsi"/>
                <w:sz w:val="18"/>
                <w:szCs w:val="18"/>
              </w:rPr>
              <w:t>Statutory Maternity Pay Records, calculations, certificates (Mat B1s) or other medical evidence</w:t>
            </w:r>
          </w:p>
        </w:tc>
        <w:tc>
          <w:tcPr>
            <w:tcW w:w="1418" w:type="dxa"/>
            <w:tcBorders>
              <w:top w:val="single" w:sz="7" w:space="0" w:color="000000"/>
              <w:left w:val="single" w:sz="7" w:space="0" w:color="000000"/>
              <w:bottom w:val="single" w:sz="7" w:space="0" w:color="000000"/>
              <w:right w:val="single" w:sz="7" w:space="0" w:color="000000"/>
            </w:tcBorders>
          </w:tcPr>
          <w:p w14:paraId="79AEFE9F" w14:textId="77777777" w:rsidR="009105FD" w:rsidRPr="00BC2CA8" w:rsidRDefault="009105FD" w:rsidP="005019A1">
            <w:pPr>
              <w:jc w:val="center"/>
              <w:rPr>
                <w:rFonts w:asciiTheme="minorHAnsi" w:hAnsiTheme="minorHAnsi" w:cstheme="minorHAnsi"/>
                <w:sz w:val="18"/>
                <w:szCs w:val="18"/>
              </w:rPr>
            </w:pPr>
          </w:p>
        </w:tc>
        <w:tc>
          <w:tcPr>
            <w:tcW w:w="2977" w:type="dxa"/>
            <w:tcBorders>
              <w:top w:val="single" w:sz="7" w:space="0" w:color="000000"/>
              <w:left w:val="single" w:sz="7" w:space="0" w:color="000000"/>
              <w:bottom w:val="single" w:sz="7" w:space="0" w:color="000000"/>
              <w:right w:val="single" w:sz="7" w:space="0" w:color="000000"/>
            </w:tcBorders>
          </w:tcPr>
          <w:p w14:paraId="496B1BE9" w14:textId="77777777" w:rsidR="009105FD" w:rsidRPr="00BC2CA8" w:rsidRDefault="009105FD" w:rsidP="005019A1">
            <w:pPr>
              <w:rPr>
                <w:rFonts w:asciiTheme="minorHAnsi" w:hAnsiTheme="minorHAnsi" w:cstheme="minorHAnsi"/>
                <w:sz w:val="18"/>
                <w:szCs w:val="18"/>
              </w:rPr>
            </w:pPr>
          </w:p>
        </w:tc>
        <w:tc>
          <w:tcPr>
            <w:tcW w:w="4961" w:type="dxa"/>
            <w:tcBorders>
              <w:top w:val="single" w:sz="7" w:space="0" w:color="000000"/>
              <w:left w:val="single" w:sz="7" w:space="0" w:color="000000"/>
              <w:bottom w:val="single" w:sz="7" w:space="0" w:color="000000"/>
              <w:right w:val="single" w:sz="7" w:space="0" w:color="000000"/>
            </w:tcBorders>
          </w:tcPr>
          <w:p w14:paraId="2D1AA71E" w14:textId="77777777" w:rsidR="009105FD" w:rsidRPr="00BC2CA8" w:rsidRDefault="009105FD" w:rsidP="005019A1">
            <w:pPr>
              <w:rPr>
                <w:rFonts w:asciiTheme="minorHAnsi" w:hAnsiTheme="minorHAnsi" w:cstheme="minorHAnsi"/>
                <w:sz w:val="18"/>
                <w:szCs w:val="18"/>
              </w:rPr>
            </w:pPr>
            <w:r>
              <w:rPr>
                <w:rFonts w:asciiTheme="minorHAnsi" w:hAnsiTheme="minorHAnsi" w:cstheme="minorHAnsi"/>
                <w:sz w:val="18"/>
                <w:szCs w:val="18"/>
              </w:rPr>
              <w:t>BSGE do not have any employees. As determine by RCOG</w:t>
            </w:r>
          </w:p>
        </w:tc>
        <w:tc>
          <w:tcPr>
            <w:tcW w:w="1418" w:type="dxa"/>
            <w:tcBorders>
              <w:top w:val="single" w:sz="7" w:space="0" w:color="000000"/>
              <w:left w:val="single" w:sz="7" w:space="0" w:color="000000"/>
              <w:bottom w:val="single" w:sz="7" w:space="0" w:color="000000"/>
              <w:right w:val="single" w:sz="7" w:space="0" w:color="000000"/>
            </w:tcBorders>
          </w:tcPr>
          <w:p w14:paraId="7289EBD5" w14:textId="77777777" w:rsidR="009105FD" w:rsidRPr="00BC2CA8" w:rsidRDefault="009105FD" w:rsidP="005019A1">
            <w:pPr>
              <w:jc w:val="center"/>
              <w:rPr>
                <w:rFonts w:asciiTheme="minorHAnsi" w:hAnsiTheme="minorHAnsi" w:cstheme="minorHAnsi"/>
                <w:sz w:val="18"/>
                <w:szCs w:val="18"/>
              </w:rPr>
            </w:pPr>
            <w:r>
              <w:rPr>
                <w:rFonts w:asciiTheme="minorHAnsi" w:hAnsiTheme="minorHAnsi" w:cstheme="minorHAnsi"/>
                <w:sz w:val="18"/>
                <w:szCs w:val="18"/>
              </w:rPr>
              <w:t>RCOG</w:t>
            </w:r>
          </w:p>
        </w:tc>
      </w:tr>
      <w:tr w:rsidR="00CE4E28" w:rsidRPr="006E66CB" w14:paraId="7EFD299C" w14:textId="77777777" w:rsidTr="00BC24E4">
        <w:trPr>
          <w:trHeight w:hRule="exact" w:val="1866"/>
        </w:trPr>
        <w:tc>
          <w:tcPr>
            <w:tcW w:w="2715" w:type="dxa"/>
            <w:tcBorders>
              <w:top w:val="single" w:sz="7" w:space="0" w:color="000000"/>
              <w:left w:val="single" w:sz="7" w:space="0" w:color="000000"/>
              <w:bottom w:val="single" w:sz="7" w:space="0" w:color="000000"/>
              <w:right w:val="single" w:sz="7" w:space="0" w:color="000000"/>
            </w:tcBorders>
          </w:tcPr>
          <w:p w14:paraId="39BC327D"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lastRenderedPageBreak/>
              <w:t xml:space="preserve">Commercial contracts </w:t>
            </w:r>
          </w:p>
          <w:p w14:paraId="03E9A88D"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t xml:space="preserve">(e.g. leasing contracts, IT contracts, etc.) </w:t>
            </w:r>
          </w:p>
          <w:p w14:paraId="35F3D31C"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t>- Correspondence (including e-mails)</w:t>
            </w:r>
          </w:p>
          <w:p w14:paraId="65F6A140"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t>- File notes and internal memoranda</w:t>
            </w:r>
          </w:p>
          <w:p w14:paraId="41950A6A"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t>- Original legal documents2, including drafts</w:t>
            </w:r>
          </w:p>
        </w:tc>
        <w:tc>
          <w:tcPr>
            <w:tcW w:w="1418" w:type="dxa"/>
            <w:tcBorders>
              <w:top w:val="single" w:sz="7" w:space="0" w:color="000000"/>
              <w:left w:val="single" w:sz="7" w:space="0" w:color="000000"/>
              <w:bottom w:val="single" w:sz="7" w:space="0" w:color="000000"/>
              <w:right w:val="single" w:sz="7" w:space="0" w:color="000000"/>
            </w:tcBorders>
          </w:tcPr>
          <w:p w14:paraId="5808B1ED" w14:textId="649405DB" w:rsidR="00CE4E28" w:rsidRDefault="00942B83" w:rsidP="00CE4E28">
            <w:pPr>
              <w:jc w:val="center"/>
              <w:rPr>
                <w:rFonts w:asciiTheme="minorHAnsi" w:hAnsiTheme="minorHAnsi" w:cstheme="minorHAnsi"/>
                <w:sz w:val="18"/>
                <w:szCs w:val="18"/>
              </w:rPr>
            </w:pPr>
            <w:r>
              <w:rPr>
                <w:rFonts w:asciiTheme="minorHAnsi" w:hAnsiTheme="minorHAnsi" w:cstheme="minorHAnsi"/>
                <w:sz w:val="18"/>
                <w:szCs w:val="18"/>
              </w:rPr>
              <w:t>No</w:t>
            </w:r>
          </w:p>
          <w:p w14:paraId="42E82129" w14:textId="77777777" w:rsidR="00CE4E28" w:rsidRPr="007D50AD" w:rsidRDefault="00CE4E28" w:rsidP="00CE4E28">
            <w:pPr>
              <w:rPr>
                <w:rFonts w:asciiTheme="minorHAnsi" w:hAnsiTheme="minorHAnsi" w:cstheme="minorHAnsi"/>
                <w:sz w:val="18"/>
                <w:szCs w:val="18"/>
              </w:rPr>
            </w:pPr>
          </w:p>
          <w:p w14:paraId="49FD917F" w14:textId="77777777" w:rsidR="00CE4E28" w:rsidRPr="007D50AD" w:rsidRDefault="00CE4E28" w:rsidP="00CE4E28">
            <w:pPr>
              <w:rPr>
                <w:rFonts w:asciiTheme="minorHAnsi" w:hAnsiTheme="minorHAnsi" w:cstheme="minorHAnsi"/>
                <w:sz w:val="18"/>
                <w:szCs w:val="18"/>
              </w:rPr>
            </w:pPr>
          </w:p>
          <w:p w14:paraId="2ADE0F2D" w14:textId="77777777" w:rsidR="00CE4E28" w:rsidRPr="007D50AD" w:rsidRDefault="00CE4E28" w:rsidP="00CE4E28">
            <w:pPr>
              <w:rPr>
                <w:rFonts w:asciiTheme="minorHAnsi" w:hAnsiTheme="minorHAnsi" w:cstheme="minorHAnsi"/>
                <w:sz w:val="18"/>
                <w:szCs w:val="18"/>
              </w:rPr>
            </w:pPr>
          </w:p>
          <w:p w14:paraId="234BEC54" w14:textId="77777777" w:rsidR="00CE4E28" w:rsidRPr="007D50AD" w:rsidRDefault="00CE4E28" w:rsidP="00CE4E28">
            <w:pPr>
              <w:rPr>
                <w:rFonts w:asciiTheme="minorHAnsi" w:hAnsiTheme="minorHAnsi" w:cstheme="minorHAnsi"/>
                <w:sz w:val="18"/>
                <w:szCs w:val="18"/>
              </w:rPr>
            </w:pPr>
          </w:p>
          <w:p w14:paraId="0ECB3386" w14:textId="77777777" w:rsidR="00CE4E28" w:rsidRPr="007D50AD" w:rsidRDefault="00CE4E28" w:rsidP="00CE4E28">
            <w:pPr>
              <w:rPr>
                <w:rFonts w:asciiTheme="minorHAnsi" w:hAnsiTheme="minorHAnsi" w:cstheme="minorHAnsi"/>
                <w:sz w:val="18"/>
                <w:szCs w:val="18"/>
              </w:rPr>
            </w:pPr>
          </w:p>
          <w:p w14:paraId="0233EAD6" w14:textId="77777777" w:rsidR="00CE4E28" w:rsidRPr="007D50AD" w:rsidRDefault="00CE4E28" w:rsidP="00CE4E28">
            <w:pPr>
              <w:rPr>
                <w:rFonts w:asciiTheme="minorHAnsi" w:hAnsiTheme="minorHAnsi" w:cstheme="minorHAnsi"/>
                <w:sz w:val="18"/>
                <w:szCs w:val="18"/>
              </w:rPr>
            </w:pPr>
          </w:p>
          <w:p w14:paraId="45FB8B6C" w14:textId="77777777" w:rsidR="00CE4E28" w:rsidRPr="007D50AD" w:rsidRDefault="00CE4E28" w:rsidP="00CE4E28">
            <w:pPr>
              <w:rPr>
                <w:rFonts w:asciiTheme="minorHAnsi" w:hAnsiTheme="minorHAnsi" w:cstheme="minorHAnsi"/>
                <w:sz w:val="18"/>
                <w:szCs w:val="18"/>
              </w:rPr>
            </w:pPr>
          </w:p>
          <w:p w14:paraId="1F0BA9DB" w14:textId="77777777" w:rsidR="00CE4E28" w:rsidRPr="007D50AD" w:rsidRDefault="00CE4E28" w:rsidP="00CE4E28">
            <w:pPr>
              <w:rPr>
                <w:rFonts w:asciiTheme="minorHAnsi" w:hAnsiTheme="minorHAnsi" w:cstheme="minorHAnsi"/>
                <w:sz w:val="18"/>
                <w:szCs w:val="18"/>
              </w:rPr>
            </w:pPr>
          </w:p>
          <w:p w14:paraId="511F5779" w14:textId="77777777" w:rsidR="00CE4E28" w:rsidRPr="007D50AD" w:rsidRDefault="00CE4E28" w:rsidP="00CE4E28">
            <w:pPr>
              <w:rPr>
                <w:rFonts w:asciiTheme="minorHAnsi" w:hAnsiTheme="minorHAnsi" w:cstheme="minorHAnsi"/>
                <w:sz w:val="18"/>
                <w:szCs w:val="18"/>
              </w:rPr>
            </w:pPr>
          </w:p>
          <w:p w14:paraId="4D6AD76F" w14:textId="77777777" w:rsidR="00CE4E28" w:rsidRPr="007D50AD" w:rsidRDefault="00CE4E28" w:rsidP="00CE4E28">
            <w:pPr>
              <w:rPr>
                <w:rFonts w:asciiTheme="minorHAnsi" w:hAnsiTheme="minorHAnsi" w:cstheme="minorHAnsi"/>
                <w:sz w:val="18"/>
                <w:szCs w:val="18"/>
              </w:rPr>
            </w:pPr>
          </w:p>
          <w:p w14:paraId="0DBD4925" w14:textId="3A6B9CCA" w:rsidR="00CE4E28" w:rsidRPr="007D50AD" w:rsidRDefault="00CE4E28" w:rsidP="00CE4E28">
            <w:pPr>
              <w:jc w:val="center"/>
              <w:rPr>
                <w:rFonts w:asciiTheme="minorHAnsi" w:hAnsiTheme="minorHAnsi" w:cstheme="minorHAnsi"/>
                <w:sz w:val="18"/>
                <w:szCs w:val="18"/>
              </w:rPr>
            </w:pPr>
          </w:p>
        </w:tc>
        <w:tc>
          <w:tcPr>
            <w:tcW w:w="2977" w:type="dxa"/>
            <w:tcBorders>
              <w:top w:val="single" w:sz="7" w:space="0" w:color="000000"/>
              <w:left w:val="single" w:sz="7" w:space="0" w:color="000000"/>
              <w:bottom w:val="single" w:sz="7" w:space="0" w:color="000000"/>
              <w:right w:val="single" w:sz="7" w:space="0" w:color="000000"/>
            </w:tcBorders>
          </w:tcPr>
          <w:p w14:paraId="31ABD29B"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t>Trigger: termination of contract</w:t>
            </w:r>
          </w:p>
          <w:p w14:paraId="27BB46B2"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t xml:space="preserve">Minimum: 7 years from termination where executed as a simple contract, </w:t>
            </w:r>
          </w:p>
          <w:p w14:paraId="5693F1F4"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t xml:space="preserve">13 years where executed as a deed, or </w:t>
            </w:r>
          </w:p>
          <w:p w14:paraId="04B60EF0"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t>16 years where relating to real property.</w:t>
            </w:r>
          </w:p>
          <w:p w14:paraId="5767B2E0"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t>Maximum: One year after the minimum retention period</w:t>
            </w:r>
          </w:p>
        </w:tc>
        <w:tc>
          <w:tcPr>
            <w:tcW w:w="4961" w:type="dxa"/>
            <w:tcBorders>
              <w:top w:val="single" w:sz="7" w:space="0" w:color="000000"/>
              <w:left w:val="single" w:sz="7" w:space="0" w:color="000000"/>
              <w:bottom w:val="single" w:sz="7" w:space="0" w:color="000000"/>
              <w:right w:val="single" w:sz="7" w:space="0" w:color="000000"/>
            </w:tcBorders>
          </w:tcPr>
          <w:p w14:paraId="4046233A" w14:textId="77777777" w:rsidR="00CE4E28" w:rsidRPr="00187CC3" w:rsidRDefault="00CE4E28" w:rsidP="00CE4E28">
            <w:pPr>
              <w:rPr>
                <w:rFonts w:asciiTheme="minorHAnsi" w:hAnsiTheme="minorHAnsi" w:cstheme="minorHAnsi"/>
                <w:sz w:val="18"/>
                <w:szCs w:val="18"/>
              </w:rPr>
            </w:pPr>
            <w:r w:rsidRPr="00187CC3">
              <w:rPr>
                <w:rFonts w:asciiTheme="minorHAnsi" w:hAnsiTheme="minorHAnsi" w:cstheme="minorHAnsi"/>
                <w:sz w:val="18"/>
                <w:szCs w:val="18"/>
              </w:rPr>
              <w:t>Takes account of the general limitation period in relation to contract (whether executed as a simple contract or as a deed) and tort claims. Additional period for real property transactions includes circumstances where the 12-year limitation period for a document executed by deed may be extended to 15 years in certain circumstances.</w:t>
            </w:r>
          </w:p>
        </w:tc>
        <w:tc>
          <w:tcPr>
            <w:tcW w:w="1418" w:type="dxa"/>
            <w:tcBorders>
              <w:top w:val="single" w:sz="7" w:space="0" w:color="000000"/>
              <w:left w:val="single" w:sz="7" w:space="0" w:color="000000"/>
              <w:bottom w:val="single" w:sz="7" w:space="0" w:color="000000"/>
              <w:right w:val="single" w:sz="7" w:space="0" w:color="000000"/>
            </w:tcBorders>
          </w:tcPr>
          <w:p w14:paraId="5DC23878" w14:textId="25A1B5DA" w:rsidR="00CE4E28" w:rsidRPr="00187CC3" w:rsidRDefault="006733DD" w:rsidP="00CE4E28">
            <w:pPr>
              <w:jc w:val="center"/>
              <w:rPr>
                <w:rFonts w:asciiTheme="minorHAnsi" w:hAnsiTheme="minorHAnsi" w:cstheme="minorHAnsi"/>
                <w:sz w:val="18"/>
                <w:szCs w:val="18"/>
              </w:rPr>
            </w:pPr>
            <w:r w:rsidRPr="006733DD">
              <w:rPr>
                <w:rFonts w:asciiTheme="minorHAnsi" w:hAnsiTheme="minorHAnsi" w:cstheme="minorHAnsi"/>
                <w:sz w:val="18"/>
                <w:szCs w:val="18"/>
                <w:highlight w:val="yellow"/>
              </w:rPr>
              <w:t>Vice President</w:t>
            </w:r>
          </w:p>
        </w:tc>
      </w:tr>
    </w:tbl>
    <w:p w14:paraId="37E45E77" w14:textId="77777777" w:rsidR="000F7E31" w:rsidRDefault="000F7E31" w:rsidP="000B3706">
      <w:pPr>
        <w:pStyle w:val="BodyText"/>
        <w:kinsoku w:val="0"/>
        <w:overflowPunct w:val="0"/>
        <w:spacing w:before="63"/>
        <w:ind w:left="0" w:right="5994"/>
        <w:rPr>
          <w:rFonts w:ascii="Verdana" w:hAnsi="Verdana" w:cs="Verdana"/>
          <w:sz w:val="20"/>
          <w:szCs w:val="20"/>
        </w:rPr>
        <w:sectPr w:rsidR="000F7E31" w:rsidSect="00AA014B">
          <w:headerReference w:type="default" r:id="rId12"/>
          <w:footerReference w:type="default" r:id="rId13"/>
          <w:pgSz w:w="16840" w:h="11910" w:orient="landscape"/>
          <w:pgMar w:top="1843" w:right="2000" w:bottom="280" w:left="1660" w:header="0" w:footer="500" w:gutter="0"/>
          <w:cols w:space="720" w:equalWidth="0">
            <w:col w:w="13180"/>
          </w:cols>
          <w:noEndnote/>
        </w:sectPr>
      </w:pPr>
    </w:p>
    <w:p w14:paraId="37E45E78" w14:textId="77777777" w:rsidR="000F7E31" w:rsidRDefault="00B91F30">
      <w:pPr>
        <w:pStyle w:val="BodyText"/>
        <w:kinsoku w:val="0"/>
        <w:overflowPunct w:val="0"/>
        <w:spacing w:line="31" w:lineRule="exact"/>
        <w:ind w:left="100"/>
        <w:rPr>
          <w:rFonts w:ascii="Verdana" w:hAnsi="Verdana" w:cs="Verdana"/>
          <w:position w:val="-1"/>
          <w:sz w:val="3"/>
          <w:szCs w:val="3"/>
        </w:rPr>
      </w:pPr>
      <w:r>
        <w:rPr>
          <w:rFonts w:ascii="Verdana" w:hAnsi="Verdana" w:cs="Verdana"/>
          <w:noProof/>
          <w:position w:val="-1"/>
          <w:sz w:val="3"/>
          <w:szCs w:val="3"/>
        </w:rPr>
        <w:lastRenderedPageBreak/>
        <mc:AlternateContent>
          <mc:Choice Requires="wpg">
            <w:drawing>
              <wp:inline distT="0" distB="0" distL="0" distR="0" wp14:anchorId="37E45EC8" wp14:editId="37E45EC9">
                <wp:extent cx="18415" cy="19685"/>
                <wp:effectExtent l="0" t="0" r="635" b="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9685"/>
                          <a:chOff x="0" y="0"/>
                          <a:chExt cx="29" cy="31"/>
                        </a:xfrm>
                      </wpg:grpSpPr>
                      <wps:wsp>
                        <wps:cNvPr id="4" name="Freeform 7"/>
                        <wps:cNvSpPr>
                          <a:spLocks/>
                        </wps:cNvSpPr>
                        <wps:spPr bwMode="auto">
                          <a:xfrm>
                            <a:off x="0" y="0"/>
                            <a:ext cx="29" cy="31"/>
                          </a:xfrm>
                          <a:custGeom>
                            <a:avLst/>
                            <a:gdLst>
                              <a:gd name="T0" fmla="*/ 29 w 29"/>
                              <a:gd name="T1" fmla="*/ 0 h 31"/>
                              <a:gd name="T2" fmla="*/ 0 w 29"/>
                              <a:gd name="T3" fmla="*/ 0 h 31"/>
                              <a:gd name="T4" fmla="*/ 0 w 29"/>
                              <a:gd name="T5" fmla="*/ 30 h 31"/>
                              <a:gd name="T6" fmla="*/ 10 w 29"/>
                              <a:gd name="T7" fmla="*/ 30 h 31"/>
                              <a:gd name="T8" fmla="*/ 10 w 29"/>
                              <a:gd name="T9" fmla="*/ 10 h 31"/>
                              <a:gd name="T10" fmla="*/ 29 w 29"/>
                              <a:gd name="T11" fmla="*/ 10 h 31"/>
                              <a:gd name="T12" fmla="*/ 29 w 29"/>
                              <a:gd name="T13" fmla="*/ 0 h 31"/>
                            </a:gdLst>
                            <a:ahLst/>
                            <a:cxnLst>
                              <a:cxn ang="0">
                                <a:pos x="T0" y="T1"/>
                              </a:cxn>
                              <a:cxn ang="0">
                                <a:pos x="T2" y="T3"/>
                              </a:cxn>
                              <a:cxn ang="0">
                                <a:pos x="T4" y="T5"/>
                              </a:cxn>
                              <a:cxn ang="0">
                                <a:pos x="T6" y="T7"/>
                              </a:cxn>
                              <a:cxn ang="0">
                                <a:pos x="T8" y="T9"/>
                              </a:cxn>
                              <a:cxn ang="0">
                                <a:pos x="T10" y="T11"/>
                              </a:cxn>
                              <a:cxn ang="0">
                                <a:pos x="T12" y="T13"/>
                              </a:cxn>
                            </a:cxnLst>
                            <a:rect l="0" t="0" r="r" b="b"/>
                            <a:pathLst>
                              <a:path w="29" h="31">
                                <a:moveTo>
                                  <a:pt x="29" y="0"/>
                                </a:moveTo>
                                <a:lnTo>
                                  <a:pt x="0" y="0"/>
                                </a:lnTo>
                                <a:lnTo>
                                  <a:pt x="0" y="30"/>
                                </a:lnTo>
                                <a:lnTo>
                                  <a:pt x="10" y="30"/>
                                </a:lnTo>
                                <a:lnTo>
                                  <a:pt x="1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B713AC9" id="Group 6" o:spid="_x0000_s1026" style="width:1.45pt;height:1.55pt;mso-position-horizontal-relative:char;mso-position-vertical-relative:line" coordsize="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ImXwMAAMEJAAAOAAAAZHJzL2Uyb0RvYy54bWykVttu2zAMfR+wfxD0OGB1nKSXGHWKoV2L&#10;Ad1WoNkHKLJ8wWxLk5Q43dePlGzXSZM26PLgSOYxL4ekqMurTVWStdCmkHVMw5MRJaLmMinqLKa/&#10;FrefLygxltUJK2UtYvokDL2af/xw2ahIjGUuy0RoAkpqEzUqprm1KgoCw3NRMXMilahBmEpdMQtb&#10;nQWJZg1or8pgPBqdBY3UidKSC2Pg7Y0X0rnTn6aC259paoQlZUzBN+ue2j2X+AzmlyzKNFN5wVs3&#10;2Du8qFhRg9Fe1Q2zjKx08UJVVXAtjUztCZdVINO04MLFANGEo51o7rRcKRdLFjWZ6mkCand4erda&#10;/mP9oEmRxHRCSc0qSJGzSs6QmkZlESDutHpUD9rHB8t7yX8bEAe7ctxnHkyWzXeZgDq2stJRs0l1&#10;hSogaLJxGXjqMyA2lnB4GV5Mw1NKOEjC2dnFqc8PzyGJL77h+df2q/HMfzIJER+wyJty7rXuYCxQ&#10;YeaZRPN/JD7mTAmXG4MUtSROOxJvtRBYteTc8+hAHYlmyOBAgi4aIPp93B1ggUV8ZeydkI58tr43&#10;1hd9AiuX0qRN/AIaJK1KqP9PARnPSAMPn4Csh4QDyIjkxFMOdd8jxluIfTqg0noz+3UAjQPEPh1Q&#10;JD1isl/J2QASjvZGcz6AHNAC51dv6IAWqL4hZB8p4THUDrkFU3v1DNk9lKL9/EJbZF3KWd5VAd/U&#10;bRnAijA8tUeuW5U02HFYE9CMi66zAIU1cwAM3iF40rbh62BIMoJdj4Nzr4MhmQh23fQmGHKGYFe8&#10;b4IxNYgOjwsxbGMMt4L0VlomNUyd3XmjKYF5s/TtpJjFBCCRuCRNTLF5cziEQ0d+JddiIZ3cYhZQ&#10;Cj66cQWmnsVlPYT5SDpUJ+v+lVPlMZPXQS0nx6EA7E/dzlD37w22vh+H2lXFS2mE145MucO9Zw9J&#10;HxxtRpZFcluUJfJmdLa8LjVZMxz87td6uQUrXTXXEj/rgnBzzR/EfmosZfIEh7KW/vYAtx1Y5FL/&#10;paSBm0NMzZ8V04KS8lsNU2UWTqfAsnWb6en5GDZ6KFkOJazmoCqmlkL34fLa+uvJSukiy8GSL4la&#10;foFBmhZ4eMNgM5H3qt3AYHMrd0+A1dZFZLh3qOeb1/wfAAAA//8DAFBLAwQUAAYACAAAACEAyC2Y&#10;itkAAAABAQAADwAAAGRycy9kb3ducmV2LnhtbEyPQUvDQBCF74L/YRnBm92kRdGYTSlFPRXBVhBv&#10;0+w0Cc3Ohuw2Sf+9oxd7GXi8x3vf5MvJtWqgPjSeDaSzBBRx6W3DlYHP3evdI6gQkS22nsnAmQIs&#10;i+urHDPrR/6gYRsrJSUcMjRQx9hlWoeyJodh5jti8Q6+dxhF9pW2PY5S7lo9T5IH7bBhWaixo3VN&#10;5XF7cgbeRhxXi/Rl2BwP6/P37v79a5OSMbc30+oZVKQp/ofhF1/QoRCmvT+xDao1II/Evyve/AnU&#10;3sAiBV3k+pK8+AEAAP//AwBQSwECLQAUAAYACAAAACEAtoM4kv4AAADhAQAAEwAAAAAAAAAAAAAA&#10;AAAAAAAAW0NvbnRlbnRfVHlwZXNdLnhtbFBLAQItABQABgAIAAAAIQA4/SH/1gAAAJQBAAALAAAA&#10;AAAAAAAAAAAAAC8BAABfcmVscy8ucmVsc1BLAQItABQABgAIAAAAIQAD2DImXwMAAMEJAAAOAAAA&#10;AAAAAAAAAAAAAC4CAABkcnMvZTJvRG9jLnhtbFBLAQItABQABgAIAAAAIQDILZiK2QAAAAEBAAAP&#10;AAAAAAAAAAAAAAAAALkFAABkcnMvZG93bnJldi54bWxQSwUGAAAAAAQABADzAAAAvwYAAAAA&#10;">
                <v:shape id="Freeform 7" o:spid="_x0000_s1027" style="position:absolute;width:29;height:31;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xwwAAANoAAAAPAAAAZHJzL2Rvd25yZXYueG1sRI9BawIx&#10;FITvQv9DeEJvmrVIW1aj2ILgRapW1ONz88wGNy/LJl23/74RCh6HmfmGmc47V4mWmmA9KxgNMxDE&#10;hdeWjYL993LwDiJEZI2VZ1LwSwHms6feFHPtb7yldheNSBAOOSooY6xzKUNRksMw9DVx8i6+cRiT&#10;bIzUDd4S3FXyJctepUPLaaHEmj5LKq67H6fgtDbj4+Zs2jf7cV0dtvWXXS9bpZ773WICIlIXH+H/&#10;9korGMP9SroBcvYHAAD//wMAUEsBAi0AFAAGAAgAAAAhANvh9svuAAAAhQEAABMAAAAAAAAAAAAA&#10;AAAAAAAAAFtDb250ZW50X1R5cGVzXS54bWxQSwECLQAUAAYACAAAACEAWvQsW78AAAAVAQAACwAA&#10;AAAAAAAAAAAAAAAfAQAAX3JlbHMvLnJlbHNQSwECLQAUAAYACAAAACEAhdfxMcMAAADaAAAADwAA&#10;AAAAAAAAAAAAAAAHAgAAZHJzL2Rvd25yZXYueG1sUEsFBgAAAAADAAMAtwAAAPcCAAAAAA==&#10;" path="m29,l,,,30r10,l10,10r19,l29,xe" fillcolor="black" stroked="f">
                  <v:path arrowok="t" o:connecttype="custom" o:connectlocs="29,0;0,0;0,30;10,30;10,10;29,10;29,0" o:connectangles="0,0,0,0,0,0,0"/>
                </v:shape>
                <w10:anchorlock/>
              </v:group>
            </w:pict>
          </mc:Fallback>
        </mc:AlternateContent>
      </w:r>
    </w:p>
    <w:p w14:paraId="37E45E7C" w14:textId="77777777" w:rsidR="000F7E31" w:rsidRDefault="007962CB" w:rsidP="002B53C7">
      <w:pPr>
        <w:pStyle w:val="Heading1"/>
        <w:rPr>
          <w:color w:val="000000"/>
        </w:rPr>
      </w:pPr>
      <w:r>
        <w:t>Revision</w:t>
      </w:r>
      <w:r>
        <w:rPr>
          <w:spacing w:val="-1"/>
        </w:rPr>
        <w:t xml:space="preserve"> </w:t>
      </w:r>
      <w:r>
        <w:t>History</w:t>
      </w:r>
    </w:p>
    <w:p w14:paraId="37E45E7D" w14:textId="77777777" w:rsidR="000F7E31" w:rsidRDefault="000F7E31">
      <w:pPr>
        <w:pStyle w:val="BodyText"/>
        <w:kinsoku w:val="0"/>
        <w:overflowPunct w:val="0"/>
        <w:spacing w:before="12"/>
        <w:ind w:left="0"/>
        <w:rPr>
          <w:b/>
          <w:bCs/>
          <w:sz w:val="21"/>
          <w:szCs w:val="21"/>
        </w:rPr>
      </w:pPr>
    </w:p>
    <w:tbl>
      <w:tblPr>
        <w:tblStyle w:val="TableGrid"/>
        <w:tblW w:w="0" w:type="auto"/>
        <w:tblLook w:val="04A0" w:firstRow="1" w:lastRow="0" w:firstColumn="1" w:lastColumn="0" w:noHBand="0" w:noVBand="1"/>
      </w:tblPr>
      <w:tblGrid>
        <w:gridCol w:w="988"/>
        <w:gridCol w:w="1701"/>
        <w:gridCol w:w="2025"/>
        <w:gridCol w:w="4302"/>
      </w:tblGrid>
      <w:tr w:rsidR="00CB5B72" w:rsidRPr="00AA014B" w14:paraId="69B03145" w14:textId="77777777" w:rsidTr="005019A1">
        <w:tc>
          <w:tcPr>
            <w:tcW w:w="988" w:type="dxa"/>
            <w:shd w:val="clear" w:color="auto" w:fill="EEECE1" w:themeFill="background2"/>
          </w:tcPr>
          <w:p w14:paraId="65F08BC2" w14:textId="77777777" w:rsidR="00CB5B72" w:rsidRPr="00AA014B" w:rsidRDefault="00CB5B72" w:rsidP="005019A1">
            <w:pPr>
              <w:rPr>
                <w:rFonts w:asciiTheme="minorHAnsi" w:hAnsiTheme="minorHAnsi" w:cstheme="minorHAnsi"/>
                <w:sz w:val="22"/>
                <w:szCs w:val="22"/>
              </w:rPr>
            </w:pPr>
            <w:r w:rsidRPr="00AA014B">
              <w:rPr>
                <w:rFonts w:asciiTheme="minorHAnsi" w:hAnsiTheme="minorHAnsi" w:cstheme="minorHAnsi"/>
                <w:sz w:val="22"/>
                <w:szCs w:val="22"/>
              </w:rPr>
              <w:t>Version</w:t>
            </w:r>
          </w:p>
        </w:tc>
        <w:tc>
          <w:tcPr>
            <w:tcW w:w="1701" w:type="dxa"/>
            <w:shd w:val="clear" w:color="auto" w:fill="EEECE1" w:themeFill="background2"/>
          </w:tcPr>
          <w:p w14:paraId="582E731B" w14:textId="77777777" w:rsidR="00CB5B72" w:rsidRPr="00AA014B" w:rsidRDefault="00CB5B72" w:rsidP="005019A1">
            <w:pPr>
              <w:rPr>
                <w:rFonts w:asciiTheme="minorHAnsi" w:hAnsiTheme="minorHAnsi" w:cstheme="minorHAnsi"/>
                <w:sz w:val="22"/>
                <w:szCs w:val="22"/>
              </w:rPr>
            </w:pPr>
            <w:r w:rsidRPr="00AA014B">
              <w:rPr>
                <w:rFonts w:asciiTheme="minorHAnsi" w:hAnsiTheme="minorHAnsi" w:cstheme="minorHAnsi"/>
                <w:sz w:val="22"/>
                <w:szCs w:val="22"/>
              </w:rPr>
              <w:t>Date</w:t>
            </w:r>
          </w:p>
        </w:tc>
        <w:tc>
          <w:tcPr>
            <w:tcW w:w="2025" w:type="dxa"/>
            <w:shd w:val="clear" w:color="auto" w:fill="EEECE1" w:themeFill="background2"/>
          </w:tcPr>
          <w:p w14:paraId="0902C6A7" w14:textId="77777777" w:rsidR="00CB5B72" w:rsidRPr="00AA014B" w:rsidRDefault="00CB5B72" w:rsidP="005019A1">
            <w:pPr>
              <w:rPr>
                <w:rFonts w:asciiTheme="minorHAnsi" w:hAnsiTheme="minorHAnsi" w:cstheme="minorHAnsi"/>
                <w:sz w:val="22"/>
                <w:szCs w:val="22"/>
              </w:rPr>
            </w:pPr>
            <w:r w:rsidRPr="00AA014B">
              <w:rPr>
                <w:rFonts w:asciiTheme="minorHAnsi" w:hAnsiTheme="minorHAnsi" w:cstheme="minorHAnsi"/>
                <w:sz w:val="22"/>
                <w:szCs w:val="22"/>
              </w:rPr>
              <w:t>Author</w:t>
            </w:r>
          </w:p>
        </w:tc>
        <w:tc>
          <w:tcPr>
            <w:tcW w:w="4302" w:type="dxa"/>
            <w:shd w:val="clear" w:color="auto" w:fill="EEECE1" w:themeFill="background2"/>
          </w:tcPr>
          <w:p w14:paraId="4A8BA11A" w14:textId="77777777" w:rsidR="00CB5B72" w:rsidRPr="00AA014B" w:rsidRDefault="00CB5B72" w:rsidP="005019A1">
            <w:pPr>
              <w:rPr>
                <w:rFonts w:asciiTheme="minorHAnsi" w:hAnsiTheme="minorHAnsi" w:cstheme="minorHAnsi"/>
                <w:sz w:val="22"/>
                <w:szCs w:val="22"/>
              </w:rPr>
            </w:pPr>
            <w:r w:rsidRPr="00AA014B">
              <w:rPr>
                <w:rFonts w:asciiTheme="minorHAnsi" w:hAnsiTheme="minorHAnsi" w:cstheme="minorHAnsi"/>
                <w:sz w:val="22"/>
                <w:szCs w:val="22"/>
              </w:rPr>
              <w:t>Summary of Revisions</w:t>
            </w:r>
          </w:p>
        </w:tc>
      </w:tr>
      <w:tr w:rsidR="00CB5B72" w:rsidRPr="00AA014B" w14:paraId="11AF0C59" w14:textId="77777777" w:rsidTr="005019A1">
        <w:tc>
          <w:tcPr>
            <w:tcW w:w="988" w:type="dxa"/>
          </w:tcPr>
          <w:p w14:paraId="275F0134" w14:textId="77777777" w:rsidR="00CB5B72" w:rsidRPr="00AA014B" w:rsidRDefault="00CB5B72" w:rsidP="005019A1">
            <w:pPr>
              <w:rPr>
                <w:rFonts w:asciiTheme="minorHAnsi" w:hAnsiTheme="minorHAnsi" w:cstheme="minorHAnsi"/>
                <w:bCs/>
                <w:sz w:val="22"/>
                <w:szCs w:val="22"/>
              </w:rPr>
            </w:pPr>
            <w:r w:rsidRPr="00AA014B">
              <w:rPr>
                <w:rFonts w:asciiTheme="minorHAnsi" w:hAnsiTheme="minorHAnsi" w:cstheme="minorHAnsi"/>
                <w:bCs/>
                <w:sz w:val="22"/>
                <w:szCs w:val="22"/>
              </w:rPr>
              <w:t>1.0</w:t>
            </w:r>
          </w:p>
        </w:tc>
        <w:tc>
          <w:tcPr>
            <w:tcW w:w="1701" w:type="dxa"/>
          </w:tcPr>
          <w:p w14:paraId="02BDF944" w14:textId="77777777" w:rsidR="00CB5B72" w:rsidRPr="00AA014B" w:rsidRDefault="00CB5B72" w:rsidP="005019A1">
            <w:pPr>
              <w:rPr>
                <w:rFonts w:asciiTheme="minorHAnsi" w:hAnsiTheme="minorHAnsi" w:cstheme="minorHAnsi"/>
                <w:bCs/>
                <w:sz w:val="22"/>
                <w:szCs w:val="22"/>
              </w:rPr>
            </w:pPr>
            <w:r w:rsidRPr="00AA014B">
              <w:rPr>
                <w:rFonts w:asciiTheme="minorHAnsi" w:hAnsiTheme="minorHAnsi" w:cstheme="minorHAnsi"/>
                <w:bCs/>
                <w:sz w:val="22"/>
                <w:szCs w:val="22"/>
                <w:highlight w:val="yellow"/>
              </w:rPr>
              <w:t>1 March 2020</w:t>
            </w:r>
          </w:p>
        </w:tc>
        <w:tc>
          <w:tcPr>
            <w:tcW w:w="2025" w:type="dxa"/>
          </w:tcPr>
          <w:p w14:paraId="4D106338" w14:textId="77777777" w:rsidR="00CB5B72" w:rsidRPr="00AA014B" w:rsidRDefault="00CB5B72" w:rsidP="005019A1">
            <w:pPr>
              <w:rPr>
                <w:rFonts w:asciiTheme="minorHAnsi" w:hAnsiTheme="minorHAnsi" w:cstheme="minorHAnsi"/>
                <w:bCs/>
                <w:sz w:val="22"/>
                <w:szCs w:val="22"/>
              </w:rPr>
            </w:pPr>
          </w:p>
        </w:tc>
        <w:tc>
          <w:tcPr>
            <w:tcW w:w="4302" w:type="dxa"/>
          </w:tcPr>
          <w:p w14:paraId="08BB3A0F" w14:textId="77777777" w:rsidR="00CB5B72" w:rsidRPr="00AA014B" w:rsidRDefault="00CB5B72" w:rsidP="005019A1">
            <w:pPr>
              <w:rPr>
                <w:rFonts w:asciiTheme="minorHAnsi" w:hAnsiTheme="minorHAnsi" w:cstheme="minorHAnsi"/>
                <w:bCs/>
                <w:sz w:val="22"/>
                <w:szCs w:val="22"/>
              </w:rPr>
            </w:pPr>
            <w:r w:rsidRPr="00AA014B">
              <w:rPr>
                <w:rFonts w:asciiTheme="minorHAnsi" w:hAnsiTheme="minorHAnsi" w:cstheme="minorHAnsi"/>
                <w:bCs/>
                <w:sz w:val="22"/>
                <w:szCs w:val="22"/>
              </w:rPr>
              <w:t>First Version</w:t>
            </w:r>
          </w:p>
        </w:tc>
      </w:tr>
      <w:tr w:rsidR="00CB5B72" w:rsidRPr="00AA014B" w14:paraId="49A37027" w14:textId="77777777" w:rsidTr="005019A1">
        <w:tc>
          <w:tcPr>
            <w:tcW w:w="988" w:type="dxa"/>
          </w:tcPr>
          <w:p w14:paraId="03795CF8" w14:textId="77777777" w:rsidR="00CB5B72" w:rsidRPr="00AA014B" w:rsidRDefault="00CB5B72" w:rsidP="005019A1">
            <w:pPr>
              <w:rPr>
                <w:rFonts w:asciiTheme="minorHAnsi" w:hAnsiTheme="minorHAnsi" w:cstheme="minorHAnsi"/>
                <w:bCs/>
                <w:sz w:val="22"/>
                <w:szCs w:val="22"/>
              </w:rPr>
            </w:pPr>
          </w:p>
        </w:tc>
        <w:tc>
          <w:tcPr>
            <w:tcW w:w="1701" w:type="dxa"/>
          </w:tcPr>
          <w:p w14:paraId="61F05721" w14:textId="77777777" w:rsidR="00CB5B72" w:rsidRPr="00AA014B" w:rsidRDefault="00CB5B72" w:rsidP="005019A1">
            <w:pPr>
              <w:rPr>
                <w:rFonts w:asciiTheme="minorHAnsi" w:hAnsiTheme="minorHAnsi" w:cstheme="minorHAnsi"/>
                <w:bCs/>
                <w:sz w:val="22"/>
                <w:szCs w:val="22"/>
              </w:rPr>
            </w:pPr>
          </w:p>
        </w:tc>
        <w:tc>
          <w:tcPr>
            <w:tcW w:w="2025" w:type="dxa"/>
          </w:tcPr>
          <w:p w14:paraId="5C4B804D" w14:textId="77777777" w:rsidR="00CB5B72" w:rsidRPr="00AA014B" w:rsidRDefault="00CB5B72" w:rsidP="005019A1">
            <w:pPr>
              <w:rPr>
                <w:rFonts w:asciiTheme="minorHAnsi" w:hAnsiTheme="minorHAnsi" w:cstheme="minorHAnsi"/>
                <w:bCs/>
                <w:sz w:val="22"/>
                <w:szCs w:val="22"/>
              </w:rPr>
            </w:pPr>
          </w:p>
        </w:tc>
        <w:tc>
          <w:tcPr>
            <w:tcW w:w="4302" w:type="dxa"/>
          </w:tcPr>
          <w:p w14:paraId="5785F8B7" w14:textId="77777777" w:rsidR="00CB5B72" w:rsidRPr="00AA014B" w:rsidRDefault="00CB5B72" w:rsidP="005019A1">
            <w:pPr>
              <w:rPr>
                <w:rFonts w:asciiTheme="minorHAnsi" w:hAnsiTheme="minorHAnsi" w:cstheme="minorHAnsi"/>
                <w:bCs/>
                <w:sz w:val="22"/>
                <w:szCs w:val="22"/>
              </w:rPr>
            </w:pPr>
          </w:p>
        </w:tc>
      </w:tr>
      <w:tr w:rsidR="00CB5B72" w:rsidRPr="00AA014B" w14:paraId="3FACB2A7" w14:textId="77777777" w:rsidTr="005019A1">
        <w:tc>
          <w:tcPr>
            <w:tcW w:w="988" w:type="dxa"/>
          </w:tcPr>
          <w:p w14:paraId="1E1262AF" w14:textId="77777777" w:rsidR="00CB5B72" w:rsidRPr="00AA014B" w:rsidRDefault="00CB5B72" w:rsidP="005019A1">
            <w:pPr>
              <w:rPr>
                <w:rFonts w:asciiTheme="minorHAnsi" w:hAnsiTheme="minorHAnsi" w:cstheme="minorHAnsi"/>
                <w:b/>
                <w:sz w:val="22"/>
                <w:szCs w:val="22"/>
              </w:rPr>
            </w:pPr>
          </w:p>
        </w:tc>
        <w:tc>
          <w:tcPr>
            <w:tcW w:w="1701" w:type="dxa"/>
          </w:tcPr>
          <w:p w14:paraId="4260973C" w14:textId="77777777" w:rsidR="00CB5B72" w:rsidRPr="00AA014B" w:rsidRDefault="00CB5B72" w:rsidP="005019A1">
            <w:pPr>
              <w:rPr>
                <w:rFonts w:asciiTheme="minorHAnsi" w:hAnsiTheme="minorHAnsi" w:cstheme="minorHAnsi"/>
                <w:b/>
                <w:sz w:val="22"/>
                <w:szCs w:val="22"/>
              </w:rPr>
            </w:pPr>
          </w:p>
        </w:tc>
        <w:tc>
          <w:tcPr>
            <w:tcW w:w="2025" w:type="dxa"/>
          </w:tcPr>
          <w:p w14:paraId="0E96B377" w14:textId="77777777" w:rsidR="00CB5B72" w:rsidRPr="00AA014B" w:rsidRDefault="00CB5B72" w:rsidP="005019A1">
            <w:pPr>
              <w:rPr>
                <w:rFonts w:asciiTheme="minorHAnsi" w:hAnsiTheme="minorHAnsi" w:cstheme="minorHAnsi"/>
                <w:b/>
                <w:sz w:val="22"/>
                <w:szCs w:val="22"/>
              </w:rPr>
            </w:pPr>
          </w:p>
        </w:tc>
        <w:tc>
          <w:tcPr>
            <w:tcW w:w="4302" w:type="dxa"/>
          </w:tcPr>
          <w:p w14:paraId="466F8777" w14:textId="77777777" w:rsidR="00CB5B72" w:rsidRPr="00AA014B" w:rsidRDefault="00CB5B72" w:rsidP="005019A1">
            <w:pPr>
              <w:rPr>
                <w:rFonts w:asciiTheme="minorHAnsi" w:hAnsiTheme="minorHAnsi" w:cstheme="minorHAnsi"/>
                <w:b/>
                <w:sz w:val="22"/>
                <w:szCs w:val="22"/>
              </w:rPr>
            </w:pPr>
          </w:p>
        </w:tc>
      </w:tr>
      <w:tr w:rsidR="00CB5B72" w:rsidRPr="00AA014B" w14:paraId="33998FEF" w14:textId="77777777" w:rsidTr="005019A1">
        <w:tc>
          <w:tcPr>
            <w:tcW w:w="988" w:type="dxa"/>
          </w:tcPr>
          <w:p w14:paraId="5F4E8303" w14:textId="77777777" w:rsidR="00CB5B72" w:rsidRPr="00AA014B" w:rsidRDefault="00CB5B72" w:rsidP="005019A1">
            <w:pPr>
              <w:rPr>
                <w:rFonts w:asciiTheme="minorHAnsi" w:hAnsiTheme="minorHAnsi" w:cstheme="minorHAnsi"/>
                <w:b/>
                <w:sz w:val="22"/>
                <w:szCs w:val="22"/>
              </w:rPr>
            </w:pPr>
          </w:p>
        </w:tc>
        <w:tc>
          <w:tcPr>
            <w:tcW w:w="1701" w:type="dxa"/>
          </w:tcPr>
          <w:p w14:paraId="6204FBD4" w14:textId="77777777" w:rsidR="00CB5B72" w:rsidRPr="00AA014B" w:rsidRDefault="00CB5B72" w:rsidP="005019A1">
            <w:pPr>
              <w:rPr>
                <w:rFonts w:asciiTheme="minorHAnsi" w:hAnsiTheme="minorHAnsi" w:cstheme="minorHAnsi"/>
                <w:b/>
                <w:sz w:val="22"/>
                <w:szCs w:val="22"/>
              </w:rPr>
            </w:pPr>
          </w:p>
        </w:tc>
        <w:tc>
          <w:tcPr>
            <w:tcW w:w="2025" w:type="dxa"/>
          </w:tcPr>
          <w:p w14:paraId="743DE9E0" w14:textId="77777777" w:rsidR="00CB5B72" w:rsidRPr="00AA014B" w:rsidRDefault="00CB5B72" w:rsidP="005019A1">
            <w:pPr>
              <w:rPr>
                <w:rFonts w:asciiTheme="minorHAnsi" w:hAnsiTheme="minorHAnsi" w:cstheme="minorHAnsi"/>
                <w:b/>
                <w:sz w:val="22"/>
                <w:szCs w:val="22"/>
              </w:rPr>
            </w:pPr>
          </w:p>
        </w:tc>
        <w:tc>
          <w:tcPr>
            <w:tcW w:w="4302" w:type="dxa"/>
          </w:tcPr>
          <w:p w14:paraId="06422BDE" w14:textId="77777777" w:rsidR="00CB5B72" w:rsidRPr="00AA014B" w:rsidRDefault="00CB5B72" w:rsidP="005019A1">
            <w:pPr>
              <w:rPr>
                <w:rFonts w:asciiTheme="minorHAnsi" w:hAnsiTheme="minorHAnsi" w:cstheme="minorHAnsi"/>
                <w:b/>
                <w:sz w:val="22"/>
                <w:szCs w:val="22"/>
              </w:rPr>
            </w:pPr>
          </w:p>
        </w:tc>
      </w:tr>
      <w:tr w:rsidR="00CB5B72" w:rsidRPr="00AA014B" w14:paraId="1EEF469D" w14:textId="77777777" w:rsidTr="005019A1">
        <w:tc>
          <w:tcPr>
            <w:tcW w:w="988" w:type="dxa"/>
          </w:tcPr>
          <w:p w14:paraId="253384B7" w14:textId="77777777" w:rsidR="00CB5B72" w:rsidRPr="00AA014B" w:rsidRDefault="00CB5B72" w:rsidP="005019A1">
            <w:pPr>
              <w:rPr>
                <w:rFonts w:asciiTheme="minorHAnsi" w:hAnsiTheme="minorHAnsi" w:cstheme="minorHAnsi"/>
                <w:b/>
                <w:sz w:val="22"/>
                <w:szCs w:val="22"/>
              </w:rPr>
            </w:pPr>
          </w:p>
        </w:tc>
        <w:tc>
          <w:tcPr>
            <w:tcW w:w="1701" w:type="dxa"/>
          </w:tcPr>
          <w:p w14:paraId="44771F7F" w14:textId="77777777" w:rsidR="00CB5B72" w:rsidRPr="00AA014B" w:rsidRDefault="00CB5B72" w:rsidP="005019A1">
            <w:pPr>
              <w:rPr>
                <w:rFonts w:asciiTheme="minorHAnsi" w:hAnsiTheme="minorHAnsi" w:cstheme="minorHAnsi"/>
                <w:b/>
                <w:sz w:val="22"/>
                <w:szCs w:val="22"/>
              </w:rPr>
            </w:pPr>
          </w:p>
        </w:tc>
        <w:tc>
          <w:tcPr>
            <w:tcW w:w="2025" w:type="dxa"/>
          </w:tcPr>
          <w:p w14:paraId="29001BC3" w14:textId="77777777" w:rsidR="00CB5B72" w:rsidRPr="00AA014B" w:rsidRDefault="00CB5B72" w:rsidP="005019A1">
            <w:pPr>
              <w:rPr>
                <w:rFonts w:asciiTheme="minorHAnsi" w:hAnsiTheme="minorHAnsi" w:cstheme="minorHAnsi"/>
                <w:b/>
                <w:sz w:val="22"/>
                <w:szCs w:val="22"/>
              </w:rPr>
            </w:pPr>
          </w:p>
        </w:tc>
        <w:tc>
          <w:tcPr>
            <w:tcW w:w="4302" w:type="dxa"/>
          </w:tcPr>
          <w:p w14:paraId="0435CC67" w14:textId="77777777" w:rsidR="00CB5B72" w:rsidRPr="00AA014B" w:rsidRDefault="00CB5B72" w:rsidP="005019A1">
            <w:pPr>
              <w:rPr>
                <w:rFonts w:asciiTheme="minorHAnsi" w:hAnsiTheme="minorHAnsi" w:cstheme="minorHAnsi"/>
                <w:b/>
                <w:sz w:val="22"/>
                <w:szCs w:val="22"/>
              </w:rPr>
            </w:pPr>
          </w:p>
        </w:tc>
      </w:tr>
    </w:tbl>
    <w:p w14:paraId="37E45E92" w14:textId="77777777" w:rsidR="000F7E31" w:rsidRDefault="000F7E31">
      <w:pPr>
        <w:pStyle w:val="BodyText"/>
        <w:kinsoku w:val="0"/>
        <w:overflowPunct w:val="0"/>
        <w:ind w:left="0"/>
        <w:rPr>
          <w:b/>
          <w:bCs/>
          <w:sz w:val="20"/>
          <w:szCs w:val="20"/>
        </w:rPr>
      </w:pPr>
    </w:p>
    <w:p w14:paraId="37E45E93" w14:textId="77777777" w:rsidR="000F7E31" w:rsidRDefault="000F7E31">
      <w:pPr>
        <w:pStyle w:val="BodyText"/>
        <w:kinsoku w:val="0"/>
        <w:overflowPunct w:val="0"/>
        <w:ind w:left="0"/>
        <w:rPr>
          <w:b/>
          <w:bCs/>
          <w:sz w:val="20"/>
          <w:szCs w:val="20"/>
        </w:rPr>
      </w:pPr>
    </w:p>
    <w:p w14:paraId="37E45E94" w14:textId="77777777" w:rsidR="000F7E31" w:rsidRDefault="000F7E31">
      <w:pPr>
        <w:pStyle w:val="BodyText"/>
        <w:kinsoku w:val="0"/>
        <w:overflowPunct w:val="0"/>
        <w:ind w:left="0"/>
        <w:rPr>
          <w:b/>
          <w:bCs/>
          <w:sz w:val="20"/>
          <w:szCs w:val="20"/>
        </w:rPr>
      </w:pPr>
    </w:p>
    <w:p w14:paraId="37E45E95" w14:textId="77777777" w:rsidR="000F7E31" w:rsidRDefault="000F7E31">
      <w:pPr>
        <w:pStyle w:val="BodyText"/>
        <w:kinsoku w:val="0"/>
        <w:overflowPunct w:val="0"/>
        <w:ind w:left="0"/>
        <w:rPr>
          <w:b/>
          <w:bCs/>
          <w:sz w:val="20"/>
          <w:szCs w:val="20"/>
        </w:rPr>
      </w:pPr>
    </w:p>
    <w:p w14:paraId="37E45E96" w14:textId="77777777" w:rsidR="000F7E31" w:rsidRDefault="000F7E31">
      <w:pPr>
        <w:pStyle w:val="BodyText"/>
        <w:kinsoku w:val="0"/>
        <w:overflowPunct w:val="0"/>
        <w:ind w:left="0"/>
        <w:rPr>
          <w:b/>
          <w:bCs/>
          <w:sz w:val="20"/>
          <w:szCs w:val="20"/>
        </w:rPr>
      </w:pPr>
    </w:p>
    <w:p w14:paraId="37E45E97" w14:textId="77777777" w:rsidR="000F7E31" w:rsidRDefault="000F7E31">
      <w:pPr>
        <w:pStyle w:val="BodyText"/>
        <w:kinsoku w:val="0"/>
        <w:overflowPunct w:val="0"/>
        <w:ind w:left="0"/>
        <w:rPr>
          <w:b/>
          <w:bCs/>
          <w:sz w:val="20"/>
          <w:szCs w:val="20"/>
        </w:rPr>
      </w:pPr>
    </w:p>
    <w:p w14:paraId="37E45E98" w14:textId="77777777" w:rsidR="000F7E31" w:rsidRDefault="000F7E31">
      <w:pPr>
        <w:pStyle w:val="BodyText"/>
        <w:kinsoku w:val="0"/>
        <w:overflowPunct w:val="0"/>
        <w:ind w:left="0"/>
        <w:rPr>
          <w:b/>
          <w:bCs/>
          <w:sz w:val="20"/>
          <w:szCs w:val="20"/>
        </w:rPr>
      </w:pPr>
    </w:p>
    <w:p w14:paraId="37E45E99" w14:textId="77777777" w:rsidR="000F7E31" w:rsidRDefault="000F7E31">
      <w:pPr>
        <w:pStyle w:val="BodyText"/>
        <w:kinsoku w:val="0"/>
        <w:overflowPunct w:val="0"/>
        <w:ind w:left="0"/>
        <w:rPr>
          <w:b/>
          <w:bCs/>
          <w:sz w:val="20"/>
          <w:szCs w:val="20"/>
        </w:rPr>
      </w:pPr>
    </w:p>
    <w:p w14:paraId="37E45E9A" w14:textId="77777777" w:rsidR="000F7E31" w:rsidRDefault="000F7E31">
      <w:pPr>
        <w:pStyle w:val="BodyText"/>
        <w:kinsoku w:val="0"/>
        <w:overflowPunct w:val="0"/>
        <w:ind w:left="0"/>
        <w:rPr>
          <w:b/>
          <w:bCs/>
          <w:sz w:val="20"/>
          <w:szCs w:val="20"/>
        </w:rPr>
      </w:pPr>
    </w:p>
    <w:p w14:paraId="37E45E9B" w14:textId="77777777" w:rsidR="000F7E31" w:rsidRDefault="000F7E31">
      <w:pPr>
        <w:pStyle w:val="BodyText"/>
        <w:kinsoku w:val="0"/>
        <w:overflowPunct w:val="0"/>
        <w:ind w:left="0"/>
        <w:rPr>
          <w:b/>
          <w:bCs/>
          <w:sz w:val="20"/>
          <w:szCs w:val="20"/>
        </w:rPr>
      </w:pPr>
    </w:p>
    <w:p w14:paraId="37E45E9C" w14:textId="77777777" w:rsidR="000F7E31" w:rsidRDefault="000F7E31">
      <w:pPr>
        <w:pStyle w:val="BodyText"/>
        <w:kinsoku w:val="0"/>
        <w:overflowPunct w:val="0"/>
        <w:ind w:left="0"/>
        <w:rPr>
          <w:b/>
          <w:bCs/>
          <w:sz w:val="20"/>
          <w:szCs w:val="20"/>
        </w:rPr>
      </w:pPr>
    </w:p>
    <w:p w14:paraId="37E45E9D" w14:textId="77777777" w:rsidR="000F7E31" w:rsidRDefault="000F7E31">
      <w:pPr>
        <w:pStyle w:val="BodyText"/>
        <w:kinsoku w:val="0"/>
        <w:overflowPunct w:val="0"/>
        <w:ind w:left="0"/>
        <w:rPr>
          <w:b/>
          <w:bCs/>
          <w:sz w:val="20"/>
          <w:szCs w:val="20"/>
        </w:rPr>
      </w:pPr>
    </w:p>
    <w:p w14:paraId="37E45E9E" w14:textId="77777777" w:rsidR="000F7E31" w:rsidRDefault="000F7E31">
      <w:pPr>
        <w:pStyle w:val="BodyText"/>
        <w:kinsoku w:val="0"/>
        <w:overflowPunct w:val="0"/>
        <w:ind w:left="0"/>
        <w:rPr>
          <w:b/>
          <w:bCs/>
          <w:sz w:val="20"/>
          <w:szCs w:val="20"/>
        </w:rPr>
      </w:pPr>
    </w:p>
    <w:p w14:paraId="37E45E9F" w14:textId="77777777" w:rsidR="000F7E31" w:rsidRDefault="000F7E31">
      <w:pPr>
        <w:pStyle w:val="BodyText"/>
        <w:kinsoku w:val="0"/>
        <w:overflowPunct w:val="0"/>
        <w:ind w:left="0"/>
        <w:rPr>
          <w:b/>
          <w:bCs/>
          <w:sz w:val="20"/>
          <w:szCs w:val="20"/>
        </w:rPr>
      </w:pPr>
    </w:p>
    <w:p w14:paraId="37E45EA0" w14:textId="77777777" w:rsidR="000F7E31" w:rsidRDefault="000F7E31">
      <w:pPr>
        <w:pStyle w:val="BodyText"/>
        <w:kinsoku w:val="0"/>
        <w:overflowPunct w:val="0"/>
        <w:ind w:left="0"/>
        <w:rPr>
          <w:b/>
          <w:bCs/>
          <w:sz w:val="20"/>
          <w:szCs w:val="20"/>
        </w:rPr>
      </w:pPr>
    </w:p>
    <w:p w14:paraId="37E45EA1" w14:textId="77777777" w:rsidR="000F7E31" w:rsidRDefault="000F7E31">
      <w:pPr>
        <w:pStyle w:val="BodyText"/>
        <w:kinsoku w:val="0"/>
        <w:overflowPunct w:val="0"/>
        <w:ind w:left="0"/>
        <w:rPr>
          <w:b/>
          <w:bCs/>
          <w:sz w:val="20"/>
          <w:szCs w:val="20"/>
        </w:rPr>
      </w:pPr>
    </w:p>
    <w:p w14:paraId="37E45EA2" w14:textId="77777777" w:rsidR="000F7E31" w:rsidRDefault="000F7E31">
      <w:pPr>
        <w:pStyle w:val="BodyText"/>
        <w:kinsoku w:val="0"/>
        <w:overflowPunct w:val="0"/>
        <w:ind w:left="0"/>
        <w:rPr>
          <w:b/>
          <w:bCs/>
          <w:sz w:val="20"/>
          <w:szCs w:val="20"/>
        </w:rPr>
      </w:pPr>
    </w:p>
    <w:p w14:paraId="37E45EA3" w14:textId="77777777" w:rsidR="000F7E31" w:rsidRDefault="000F7E31">
      <w:pPr>
        <w:pStyle w:val="BodyText"/>
        <w:kinsoku w:val="0"/>
        <w:overflowPunct w:val="0"/>
        <w:ind w:left="0"/>
        <w:rPr>
          <w:b/>
          <w:bCs/>
          <w:sz w:val="20"/>
          <w:szCs w:val="20"/>
        </w:rPr>
      </w:pPr>
    </w:p>
    <w:p w14:paraId="37E45EA4" w14:textId="77777777" w:rsidR="000F7E31" w:rsidRDefault="000F7E31">
      <w:pPr>
        <w:pStyle w:val="BodyText"/>
        <w:kinsoku w:val="0"/>
        <w:overflowPunct w:val="0"/>
        <w:ind w:left="0"/>
        <w:rPr>
          <w:b/>
          <w:bCs/>
          <w:sz w:val="20"/>
          <w:szCs w:val="20"/>
        </w:rPr>
      </w:pPr>
    </w:p>
    <w:p w14:paraId="37E45EA5" w14:textId="77777777" w:rsidR="000F7E31" w:rsidRDefault="000F7E31">
      <w:pPr>
        <w:pStyle w:val="BodyText"/>
        <w:kinsoku w:val="0"/>
        <w:overflowPunct w:val="0"/>
        <w:ind w:left="0"/>
        <w:rPr>
          <w:b/>
          <w:bCs/>
          <w:sz w:val="20"/>
          <w:szCs w:val="20"/>
        </w:rPr>
      </w:pPr>
    </w:p>
    <w:p w14:paraId="37E45EA6" w14:textId="77777777" w:rsidR="000F7E31" w:rsidRDefault="000F7E31">
      <w:pPr>
        <w:pStyle w:val="BodyText"/>
        <w:kinsoku w:val="0"/>
        <w:overflowPunct w:val="0"/>
        <w:ind w:left="0"/>
        <w:rPr>
          <w:b/>
          <w:bCs/>
          <w:sz w:val="20"/>
          <w:szCs w:val="20"/>
        </w:rPr>
      </w:pPr>
    </w:p>
    <w:p w14:paraId="37E45EA7" w14:textId="77777777" w:rsidR="000F7E31" w:rsidRDefault="000F7E31">
      <w:pPr>
        <w:pStyle w:val="BodyText"/>
        <w:kinsoku w:val="0"/>
        <w:overflowPunct w:val="0"/>
        <w:ind w:left="0"/>
        <w:rPr>
          <w:b/>
          <w:bCs/>
          <w:sz w:val="20"/>
          <w:szCs w:val="20"/>
        </w:rPr>
      </w:pPr>
    </w:p>
    <w:p w14:paraId="37E45EA8" w14:textId="77777777" w:rsidR="000F7E31" w:rsidRDefault="000F7E31">
      <w:pPr>
        <w:pStyle w:val="BodyText"/>
        <w:kinsoku w:val="0"/>
        <w:overflowPunct w:val="0"/>
        <w:ind w:left="0"/>
        <w:rPr>
          <w:b/>
          <w:bCs/>
          <w:sz w:val="20"/>
          <w:szCs w:val="20"/>
        </w:rPr>
      </w:pPr>
    </w:p>
    <w:p w14:paraId="37E45EA9" w14:textId="77777777" w:rsidR="000F7E31" w:rsidRDefault="000F7E31">
      <w:pPr>
        <w:pStyle w:val="BodyText"/>
        <w:kinsoku w:val="0"/>
        <w:overflowPunct w:val="0"/>
        <w:ind w:left="0"/>
        <w:rPr>
          <w:b/>
          <w:bCs/>
          <w:sz w:val="20"/>
          <w:szCs w:val="20"/>
        </w:rPr>
      </w:pPr>
    </w:p>
    <w:p w14:paraId="37E45EAA" w14:textId="77777777" w:rsidR="000F7E31" w:rsidRDefault="000F7E31">
      <w:pPr>
        <w:pStyle w:val="BodyText"/>
        <w:kinsoku w:val="0"/>
        <w:overflowPunct w:val="0"/>
        <w:ind w:left="0"/>
        <w:rPr>
          <w:b/>
          <w:bCs/>
          <w:sz w:val="20"/>
          <w:szCs w:val="20"/>
        </w:rPr>
      </w:pPr>
    </w:p>
    <w:p w14:paraId="37E45EAB" w14:textId="77777777" w:rsidR="000F7E31" w:rsidRDefault="000F7E31">
      <w:pPr>
        <w:pStyle w:val="BodyText"/>
        <w:kinsoku w:val="0"/>
        <w:overflowPunct w:val="0"/>
        <w:ind w:left="0"/>
        <w:rPr>
          <w:b/>
          <w:bCs/>
          <w:sz w:val="20"/>
          <w:szCs w:val="20"/>
        </w:rPr>
      </w:pPr>
    </w:p>
    <w:p w14:paraId="37E45EAC" w14:textId="77777777" w:rsidR="000F7E31" w:rsidRDefault="000F7E31">
      <w:pPr>
        <w:pStyle w:val="BodyText"/>
        <w:kinsoku w:val="0"/>
        <w:overflowPunct w:val="0"/>
        <w:ind w:left="0"/>
        <w:rPr>
          <w:b/>
          <w:bCs/>
          <w:sz w:val="20"/>
          <w:szCs w:val="20"/>
        </w:rPr>
      </w:pPr>
    </w:p>
    <w:p w14:paraId="37E45EAD" w14:textId="77777777" w:rsidR="000F7E31" w:rsidRDefault="000F7E31">
      <w:pPr>
        <w:pStyle w:val="BodyText"/>
        <w:kinsoku w:val="0"/>
        <w:overflowPunct w:val="0"/>
        <w:ind w:left="0"/>
        <w:rPr>
          <w:b/>
          <w:bCs/>
          <w:sz w:val="20"/>
          <w:szCs w:val="20"/>
        </w:rPr>
      </w:pPr>
    </w:p>
    <w:p w14:paraId="37E45EAE" w14:textId="77777777" w:rsidR="000F7E31" w:rsidRDefault="000F7E31">
      <w:pPr>
        <w:pStyle w:val="BodyText"/>
        <w:kinsoku w:val="0"/>
        <w:overflowPunct w:val="0"/>
        <w:ind w:left="0"/>
        <w:rPr>
          <w:b/>
          <w:bCs/>
          <w:sz w:val="20"/>
          <w:szCs w:val="20"/>
        </w:rPr>
      </w:pPr>
    </w:p>
    <w:p w14:paraId="37E45EAF" w14:textId="77777777" w:rsidR="000F7E31" w:rsidRDefault="000F7E31">
      <w:pPr>
        <w:pStyle w:val="BodyText"/>
        <w:kinsoku w:val="0"/>
        <w:overflowPunct w:val="0"/>
        <w:ind w:left="0"/>
        <w:rPr>
          <w:b/>
          <w:bCs/>
          <w:sz w:val="20"/>
          <w:szCs w:val="20"/>
        </w:rPr>
      </w:pPr>
    </w:p>
    <w:p w14:paraId="37E45EB0" w14:textId="77777777" w:rsidR="000F7E31" w:rsidRDefault="000F7E31">
      <w:pPr>
        <w:pStyle w:val="BodyText"/>
        <w:kinsoku w:val="0"/>
        <w:overflowPunct w:val="0"/>
        <w:ind w:left="0"/>
        <w:rPr>
          <w:b/>
          <w:bCs/>
          <w:sz w:val="20"/>
          <w:szCs w:val="20"/>
        </w:rPr>
      </w:pPr>
    </w:p>
    <w:p w14:paraId="37E45EB1" w14:textId="77777777" w:rsidR="000F7E31" w:rsidRDefault="000F7E31">
      <w:pPr>
        <w:pStyle w:val="BodyText"/>
        <w:kinsoku w:val="0"/>
        <w:overflowPunct w:val="0"/>
        <w:ind w:left="0"/>
        <w:rPr>
          <w:b/>
          <w:bCs/>
          <w:sz w:val="20"/>
          <w:szCs w:val="20"/>
        </w:rPr>
      </w:pPr>
    </w:p>
    <w:p w14:paraId="37E45EB2" w14:textId="77777777" w:rsidR="000F7E31" w:rsidRDefault="000F7E31">
      <w:pPr>
        <w:pStyle w:val="BodyText"/>
        <w:kinsoku w:val="0"/>
        <w:overflowPunct w:val="0"/>
        <w:ind w:left="0"/>
        <w:rPr>
          <w:b/>
          <w:bCs/>
          <w:sz w:val="20"/>
          <w:szCs w:val="20"/>
        </w:rPr>
      </w:pPr>
    </w:p>
    <w:p w14:paraId="37E45EB3" w14:textId="77777777" w:rsidR="000F7E31" w:rsidRDefault="000F7E31">
      <w:pPr>
        <w:pStyle w:val="BodyText"/>
        <w:kinsoku w:val="0"/>
        <w:overflowPunct w:val="0"/>
        <w:ind w:left="0"/>
        <w:rPr>
          <w:b/>
          <w:bCs/>
          <w:sz w:val="20"/>
          <w:szCs w:val="20"/>
        </w:rPr>
      </w:pPr>
    </w:p>
    <w:p w14:paraId="37E45EB4" w14:textId="77777777" w:rsidR="000F7E31" w:rsidRDefault="000F7E31">
      <w:pPr>
        <w:pStyle w:val="BodyText"/>
        <w:kinsoku w:val="0"/>
        <w:overflowPunct w:val="0"/>
        <w:ind w:left="0"/>
        <w:rPr>
          <w:b/>
          <w:bCs/>
          <w:sz w:val="20"/>
          <w:szCs w:val="20"/>
        </w:rPr>
      </w:pPr>
    </w:p>
    <w:p w14:paraId="37E45EB5" w14:textId="77777777" w:rsidR="000F7E31" w:rsidRDefault="000F7E31">
      <w:pPr>
        <w:pStyle w:val="BodyText"/>
        <w:kinsoku w:val="0"/>
        <w:overflowPunct w:val="0"/>
        <w:ind w:left="0"/>
        <w:rPr>
          <w:b/>
          <w:bCs/>
          <w:sz w:val="20"/>
          <w:szCs w:val="20"/>
        </w:rPr>
      </w:pPr>
    </w:p>
    <w:p w14:paraId="37E45EB6" w14:textId="77777777" w:rsidR="000F7E31" w:rsidRDefault="000F7E31">
      <w:pPr>
        <w:pStyle w:val="BodyText"/>
        <w:kinsoku w:val="0"/>
        <w:overflowPunct w:val="0"/>
        <w:ind w:left="0"/>
        <w:rPr>
          <w:b/>
          <w:bCs/>
          <w:sz w:val="20"/>
          <w:szCs w:val="20"/>
        </w:rPr>
      </w:pPr>
    </w:p>
    <w:p w14:paraId="37E45EB7" w14:textId="77777777" w:rsidR="000F7E31" w:rsidRDefault="000F7E31">
      <w:pPr>
        <w:pStyle w:val="BodyText"/>
        <w:kinsoku w:val="0"/>
        <w:overflowPunct w:val="0"/>
        <w:ind w:left="0"/>
        <w:rPr>
          <w:b/>
          <w:bCs/>
          <w:sz w:val="20"/>
          <w:szCs w:val="20"/>
        </w:rPr>
      </w:pPr>
    </w:p>
    <w:p w14:paraId="37E45EB8" w14:textId="77777777" w:rsidR="000F7E31" w:rsidRDefault="000F7E31">
      <w:pPr>
        <w:pStyle w:val="BodyText"/>
        <w:kinsoku w:val="0"/>
        <w:overflowPunct w:val="0"/>
        <w:ind w:left="0"/>
        <w:rPr>
          <w:b/>
          <w:bCs/>
          <w:sz w:val="20"/>
          <w:szCs w:val="20"/>
        </w:rPr>
      </w:pPr>
    </w:p>
    <w:p w14:paraId="37E45EB9" w14:textId="77777777" w:rsidR="000F7E31" w:rsidRDefault="000F7E31">
      <w:pPr>
        <w:pStyle w:val="BodyText"/>
        <w:kinsoku w:val="0"/>
        <w:overflowPunct w:val="0"/>
        <w:ind w:left="0"/>
        <w:rPr>
          <w:b/>
          <w:bCs/>
          <w:sz w:val="20"/>
          <w:szCs w:val="20"/>
        </w:rPr>
      </w:pPr>
    </w:p>
    <w:p w14:paraId="37E45EBA" w14:textId="77777777" w:rsidR="000F7E31" w:rsidRDefault="000F7E31">
      <w:pPr>
        <w:pStyle w:val="BodyText"/>
        <w:kinsoku w:val="0"/>
        <w:overflowPunct w:val="0"/>
        <w:ind w:left="0"/>
        <w:rPr>
          <w:b/>
          <w:bCs/>
          <w:sz w:val="20"/>
          <w:szCs w:val="20"/>
        </w:rPr>
      </w:pPr>
    </w:p>
    <w:p w14:paraId="37E45EBB" w14:textId="77777777" w:rsidR="000F7E31" w:rsidRDefault="000F7E31">
      <w:pPr>
        <w:pStyle w:val="BodyText"/>
        <w:kinsoku w:val="0"/>
        <w:overflowPunct w:val="0"/>
        <w:ind w:left="0"/>
        <w:rPr>
          <w:b/>
          <w:bCs/>
          <w:sz w:val="20"/>
          <w:szCs w:val="20"/>
        </w:rPr>
      </w:pPr>
    </w:p>
    <w:p w14:paraId="37E45EBC" w14:textId="77777777" w:rsidR="000F7E31" w:rsidRDefault="000F7E31">
      <w:pPr>
        <w:pStyle w:val="BodyText"/>
        <w:kinsoku w:val="0"/>
        <w:overflowPunct w:val="0"/>
        <w:ind w:left="0"/>
        <w:rPr>
          <w:b/>
          <w:bCs/>
          <w:sz w:val="20"/>
          <w:szCs w:val="20"/>
        </w:rPr>
      </w:pPr>
    </w:p>
    <w:p w14:paraId="37E45EBD" w14:textId="7678BD68" w:rsidR="000F7E31" w:rsidRPr="002D25BE" w:rsidRDefault="000F7E31" w:rsidP="007D50AD">
      <w:pPr>
        <w:pStyle w:val="BodyText"/>
        <w:kinsoku w:val="0"/>
        <w:overflowPunct w:val="0"/>
        <w:ind w:left="0"/>
        <w:rPr>
          <w:sz w:val="20"/>
          <w:szCs w:val="20"/>
        </w:rPr>
      </w:pPr>
    </w:p>
    <w:p w14:paraId="37E45EBE" w14:textId="77777777" w:rsidR="000F7E31" w:rsidRDefault="000F7E31">
      <w:pPr>
        <w:pStyle w:val="BodyText"/>
        <w:kinsoku w:val="0"/>
        <w:overflowPunct w:val="0"/>
        <w:ind w:left="0"/>
        <w:rPr>
          <w:b/>
          <w:bCs/>
          <w:sz w:val="20"/>
          <w:szCs w:val="20"/>
        </w:rPr>
      </w:pPr>
    </w:p>
    <w:p w14:paraId="37E45EBF" w14:textId="77777777" w:rsidR="000F7E31" w:rsidRDefault="000F7E31">
      <w:pPr>
        <w:pStyle w:val="BodyText"/>
        <w:kinsoku w:val="0"/>
        <w:overflowPunct w:val="0"/>
        <w:ind w:left="0"/>
        <w:rPr>
          <w:b/>
          <w:bCs/>
          <w:sz w:val="20"/>
          <w:szCs w:val="20"/>
        </w:rPr>
      </w:pPr>
    </w:p>
    <w:p w14:paraId="37E45EC0" w14:textId="77777777" w:rsidR="000F7E31" w:rsidRDefault="000F7E31">
      <w:pPr>
        <w:pStyle w:val="BodyText"/>
        <w:kinsoku w:val="0"/>
        <w:overflowPunct w:val="0"/>
        <w:ind w:left="0"/>
        <w:rPr>
          <w:b/>
          <w:bCs/>
          <w:sz w:val="20"/>
          <w:szCs w:val="20"/>
        </w:rPr>
      </w:pPr>
    </w:p>
    <w:sectPr w:rsidR="000F7E31" w:rsidSect="00AA014B">
      <w:headerReference w:type="default" r:id="rId14"/>
      <w:footerReference w:type="default" r:id="rId15"/>
      <w:pgSz w:w="11910" w:h="16840"/>
      <w:pgMar w:top="1843" w:right="1278" w:bottom="993" w:left="1340" w:header="0" w:footer="0" w:gutter="0"/>
      <w:cols w:space="720" w:equalWidth="0">
        <w:col w:w="99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3F5CA" w14:textId="77777777" w:rsidR="00CE5F82" w:rsidRDefault="00CE5F82">
      <w:r>
        <w:separator/>
      </w:r>
    </w:p>
  </w:endnote>
  <w:endnote w:type="continuationSeparator" w:id="0">
    <w:p w14:paraId="26EC2E19" w14:textId="77777777" w:rsidR="00CE5F82" w:rsidRDefault="00CE5F82">
      <w:r>
        <w:continuationSeparator/>
      </w:r>
    </w:p>
  </w:endnote>
  <w:endnote w:type="continuationNotice" w:id="1">
    <w:p w14:paraId="247B78F0" w14:textId="77777777" w:rsidR="00CE5F82" w:rsidRDefault="00CE5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535569"/>
      <w:docPartObj>
        <w:docPartGallery w:val="Page Numbers (Bottom of Page)"/>
        <w:docPartUnique/>
      </w:docPartObj>
    </w:sdtPr>
    <w:sdtEndPr>
      <w:rPr>
        <w:rFonts w:asciiTheme="minorHAnsi" w:hAnsiTheme="minorHAnsi" w:cstheme="minorHAnsi"/>
        <w:noProof/>
        <w:sz w:val="20"/>
        <w:szCs w:val="20"/>
      </w:rPr>
    </w:sdtEndPr>
    <w:sdtContent>
      <w:p w14:paraId="41F7E5B1" w14:textId="77777777" w:rsidR="00773ADB" w:rsidRDefault="00773ADB" w:rsidP="007D50AD">
        <w:pPr>
          <w:pStyle w:val="Footer"/>
          <w:tabs>
            <w:tab w:val="clear" w:pos="9026"/>
            <w:tab w:val="right" w:pos="9498"/>
          </w:tabs>
          <w:jc w:val="right"/>
        </w:pPr>
      </w:p>
      <w:p w14:paraId="04FA6325" w14:textId="113A91FF" w:rsidR="00773ADB" w:rsidRPr="002B53C7" w:rsidRDefault="002B53C7" w:rsidP="00773ADB">
        <w:pPr>
          <w:pStyle w:val="Footer"/>
          <w:tabs>
            <w:tab w:val="clear" w:pos="9026"/>
            <w:tab w:val="right" w:pos="9498"/>
          </w:tabs>
          <w:rPr>
            <w:rFonts w:asciiTheme="minorHAnsi" w:hAnsiTheme="minorHAnsi" w:cstheme="minorHAnsi"/>
            <w:sz w:val="20"/>
            <w:szCs w:val="20"/>
          </w:rPr>
        </w:pPr>
        <w:r>
          <w:rPr>
            <w:rFonts w:asciiTheme="minorHAnsi" w:hAnsiTheme="minorHAnsi" w:cstheme="minorHAnsi"/>
            <w:sz w:val="20"/>
            <w:szCs w:val="20"/>
            <w:lang w:val="en-US"/>
          </w:rPr>
          <w:t>BSGE -</w:t>
        </w:r>
        <w:r w:rsidR="00773ADB" w:rsidRPr="002B53C7">
          <w:rPr>
            <w:rFonts w:asciiTheme="minorHAnsi" w:hAnsiTheme="minorHAnsi" w:cstheme="minorHAnsi"/>
            <w:sz w:val="20"/>
            <w:szCs w:val="20"/>
            <w:lang w:val="en-US"/>
          </w:rPr>
          <w:t xml:space="preserve"> Personal Data </w:t>
        </w:r>
        <w:r>
          <w:rPr>
            <w:rFonts w:asciiTheme="minorHAnsi" w:hAnsiTheme="minorHAnsi" w:cstheme="minorHAnsi"/>
            <w:sz w:val="20"/>
            <w:szCs w:val="20"/>
            <w:lang w:val="en-US"/>
          </w:rPr>
          <w:t>Re</w:t>
        </w:r>
        <w:r w:rsidR="00773ADB" w:rsidRPr="002B53C7">
          <w:rPr>
            <w:rFonts w:asciiTheme="minorHAnsi" w:hAnsiTheme="minorHAnsi" w:cstheme="minorHAnsi"/>
            <w:sz w:val="20"/>
            <w:szCs w:val="20"/>
            <w:lang w:val="en-US"/>
          </w:rPr>
          <w:t>tention &amp; Destruction Policy</w:t>
        </w:r>
        <w:r w:rsidR="00773ADB" w:rsidRPr="002B53C7">
          <w:rPr>
            <w:rFonts w:asciiTheme="minorHAnsi" w:hAnsiTheme="minorHAnsi" w:cstheme="minorHAnsi"/>
            <w:sz w:val="20"/>
            <w:szCs w:val="20"/>
            <w:lang w:val="en-US"/>
          </w:rPr>
          <w:tab/>
        </w:r>
        <w:r w:rsidR="00773ADB" w:rsidRPr="002B53C7">
          <w:rPr>
            <w:rFonts w:asciiTheme="minorHAnsi" w:hAnsiTheme="minorHAnsi" w:cstheme="minorHAnsi"/>
            <w:sz w:val="20"/>
            <w:szCs w:val="20"/>
            <w:lang w:val="en-US"/>
          </w:rPr>
          <w:tab/>
        </w:r>
        <w:r w:rsidR="00773ADB" w:rsidRPr="002B53C7">
          <w:rPr>
            <w:rFonts w:asciiTheme="minorHAnsi" w:hAnsiTheme="minorHAnsi" w:cstheme="minorHAnsi"/>
            <w:sz w:val="20"/>
            <w:szCs w:val="20"/>
          </w:rPr>
          <w:fldChar w:fldCharType="begin"/>
        </w:r>
        <w:r w:rsidR="00773ADB" w:rsidRPr="002B53C7">
          <w:rPr>
            <w:rFonts w:asciiTheme="minorHAnsi" w:hAnsiTheme="minorHAnsi" w:cstheme="minorHAnsi"/>
            <w:sz w:val="20"/>
            <w:szCs w:val="20"/>
          </w:rPr>
          <w:instrText xml:space="preserve"> PAGE   \* MERGEFORMAT </w:instrText>
        </w:r>
        <w:r w:rsidR="00773ADB" w:rsidRPr="002B53C7">
          <w:rPr>
            <w:rFonts w:asciiTheme="minorHAnsi" w:hAnsiTheme="minorHAnsi" w:cstheme="minorHAnsi"/>
            <w:sz w:val="20"/>
            <w:szCs w:val="20"/>
          </w:rPr>
          <w:fldChar w:fldCharType="separate"/>
        </w:r>
        <w:r w:rsidR="00773ADB" w:rsidRPr="002B53C7">
          <w:rPr>
            <w:rFonts w:asciiTheme="minorHAnsi" w:hAnsiTheme="minorHAnsi" w:cstheme="minorHAnsi"/>
            <w:noProof/>
            <w:sz w:val="20"/>
            <w:szCs w:val="20"/>
          </w:rPr>
          <w:t>2</w:t>
        </w:r>
        <w:r w:rsidR="00773ADB" w:rsidRPr="002B53C7">
          <w:rPr>
            <w:rFonts w:asciiTheme="minorHAnsi" w:hAnsiTheme="minorHAnsi" w:cstheme="minorHAnsi"/>
            <w:noProof/>
            <w:sz w:val="20"/>
            <w:szCs w:val="20"/>
          </w:rPr>
          <w:fldChar w:fldCharType="end"/>
        </w:r>
      </w:p>
    </w:sdtContent>
  </w:sdt>
  <w:p w14:paraId="3AFD21E9" w14:textId="7CD7FC63" w:rsidR="00773ADB" w:rsidRPr="00773ADB" w:rsidRDefault="00773ADB">
    <w:pPr>
      <w:pStyle w:val="Footer"/>
      <w:rPr>
        <w:rFonts w:asciiTheme="minorHAnsi" w:hAnsiTheme="minorHAnsi" w:cstheme="minorHAnsi"/>
        <w:b/>
        <w:bCs/>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314418"/>
      <w:docPartObj>
        <w:docPartGallery w:val="Page Numbers (Bottom of Page)"/>
        <w:docPartUnique/>
      </w:docPartObj>
    </w:sdtPr>
    <w:sdtEndPr>
      <w:rPr>
        <w:rFonts w:asciiTheme="minorHAnsi" w:hAnsiTheme="minorHAnsi" w:cstheme="minorHAnsi"/>
        <w:noProof/>
        <w:sz w:val="20"/>
        <w:szCs w:val="20"/>
      </w:rPr>
    </w:sdtEndPr>
    <w:sdtContent>
      <w:p w14:paraId="6128CEDA" w14:textId="77777777" w:rsidR="007D50AD" w:rsidRDefault="007D50AD" w:rsidP="007D50AD">
        <w:pPr>
          <w:pStyle w:val="Footer"/>
          <w:tabs>
            <w:tab w:val="clear" w:pos="9026"/>
            <w:tab w:val="right" w:pos="9498"/>
          </w:tabs>
          <w:jc w:val="right"/>
        </w:pPr>
      </w:p>
      <w:p w14:paraId="75945AF5" w14:textId="4F746D38" w:rsidR="007D50AD" w:rsidRPr="00773ADB" w:rsidRDefault="007D50AD" w:rsidP="007D50AD">
        <w:pPr>
          <w:pStyle w:val="Footer"/>
          <w:tabs>
            <w:tab w:val="clear" w:pos="4513"/>
            <w:tab w:val="clear" w:pos="9026"/>
            <w:tab w:val="right" w:pos="13325"/>
          </w:tabs>
          <w:ind w:right="-428"/>
          <w:rPr>
            <w:rFonts w:asciiTheme="minorHAnsi" w:hAnsiTheme="minorHAnsi" w:cstheme="minorHAnsi"/>
            <w:sz w:val="20"/>
            <w:szCs w:val="20"/>
          </w:rPr>
        </w:pPr>
        <w:r w:rsidRPr="00773ADB">
          <w:rPr>
            <w:rFonts w:asciiTheme="minorHAnsi" w:hAnsiTheme="minorHAnsi" w:cstheme="minorHAnsi"/>
            <w:b/>
            <w:bCs/>
            <w:sz w:val="20"/>
            <w:szCs w:val="20"/>
            <w:lang w:val="en-US"/>
          </w:rPr>
          <w:t>WCF Personal Data retention &amp; Destruction Policy</w:t>
        </w:r>
        <w:r w:rsidRPr="00773ADB">
          <w:rPr>
            <w:rFonts w:asciiTheme="minorHAnsi" w:hAnsiTheme="minorHAnsi" w:cstheme="minorHAnsi"/>
            <w:b/>
            <w:bCs/>
            <w:sz w:val="20"/>
            <w:szCs w:val="20"/>
            <w:lang w:val="en-US"/>
          </w:rPr>
          <w:tab/>
        </w:r>
        <w:r w:rsidRPr="00773ADB">
          <w:rPr>
            <w:rFonts w:asciiTheme="minorHAnsi" w:hAnsiTheme="minorHAnsi" w:cstheme="minorHAnsi"/>
            <w:sz w:val="20"/>
            <w:szCs w:val="20"/>
          </w:rPr>
          <w:fldChar w:fldCharType="begin"/>
        </w:r>
        <w:r w:rsidRPr="00773ADB">
          <w:rPr>
            <w:rFonts w:asciiTheme="minorHAnsi" w:hAnsiTheme="minorHAnsi" w:cstheme="minorHAnsi"/>
            <w:sz w:val="20"/>
            <w:szCs w:val="20"/>
          </w:rPr>
          <w:instrText xml:space="preserve"> PAGE   \* MERGEFORMAT </w:instrText>
        </w:r>
        <w:r w:rsidRPr="00773ADB">
          <w:rPr>
            <w:rFonts w:asciiTheme="minorHAnsi" w:hAnsiTheme="minorHAnsi" w:cstheme="minorHAnsi"/>
            <w:sz w:val="20"/>
            <w:szCs w:val="20"/>
          </w:rPr>
          <w:fldChar w:fldCharType="separate"/>
        </w:r>
        <w:r w:rsidRPr="00773ADB">
          <w:rPr>
            <w:rFonts w:asciiTheme="minorHAnsi" w:hAnsiTheme="minorHAnsi" w:cstheme="minorHAnsi"/>
            <w:noProof/>
            <w:sz w:val="20"/>
            <w:szCs w:val="20"/>
          </w:rPr>
          <w:t>2</w:t>
        </w:r>
        <w:r w:rsidRPr="00773ADB">
          <w:rPr>
            <w:rFonts w:asciiTheme="minorHAnsi" w:hAnsiTheme="minorHAnsi" w:cstheme="minorHAnsi"/>
            <w:noProof/>
            <w:sz w:val="20"/>
            <w:szCs w:val="20"/>
          </w:rPr>
          <w:fldChar w:fldCharType="end"/>
        </w:r>
      </w:p>
    </w:sdtContent>
  </w:sdt>
  <w:p w14:paraId="57725A12" w14:textId="77777777" w:rsidR="007D50AD" w:rsidRPr="00773ADB" w:rsidRDefault="007D50AD">
    <w:pPr>
      <w:pStyle w:val="Footer"/>
      <w:rPr>
        <w:rFonts w:asciiTheme="minorHAnsi" w:hAnsiTheme="minorHAnsi" w:cstheme="minorHAnsi"/>
        <w:b/>
        <w:bCs/>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5ED8" w14:textId="77777777" w:rsidR="000F7E31" w:rsidRDefault="000F7E31">
    <w:pPr>
      <w:pStyle w:val="BodyText"/>
      <w:kinsoku w:val="0"/>
      <w:overflowPunct w:val="0"/>
      <w:spacing w:line="14" w:lineRule="auto"/>
      <w:ind w:left="0"/>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E1932" w14:textId="77777777" w:rsidR="00CE5F82" w:rsidRDefault="00CE5F82">
      <w:r>
        <w:separator/>
      </w:r>
    </w:p>
  </w:footnote>
  <w:footnote w:type="continuationSeparator" w:id="0">
    <w:p w14:paraId="0BFA9204" w14:textId="77777777" w:rsidR="00CE5F82" w:rsidRDefault="00CE5F82">
      <w:r>
        <w:continuationSeparator/>
      </w:r>
    </w:p>
  </w:footnote>
  <w:footnote w:type="continuationNotice" w:id="1">
    <w:p w14:paraId="3E0440EA" w14:textId="77777777" w:rsidR="00CE5F82" w:rsidRDefault="00CE5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6469" w14:textId="2A8C1D67" w:rsidR="00773ADB" w:rsidRDefault="003D2575">
    <w:pPr>
      <w:pStyle w:val="Header"/>
    </w:pPr>
    <w:r>
      <w:rPr>
        <w:noProof/>
      </w:rPr>
      <w:drawing>
        <wp:anchor distT="0" distB="0" distL="114300" distR="114300" simplePos="0" relativeHeight="251668480" behindDoc="1" locked="0" layoutInCell="1" allowOverlap="1" wp14:anchorId="5C50B0C3" wp14:editId="5EB1B05E">
          <wp:simplePos x="0" y="0"/>
          <wp:positionH relativeFrom="column">
            <wp:posOffset>3325091</wp:posOffset>
          </wp:positionH>
          <wp:positionV relativeFrom="paragraph">
            <wp:posOffset>277264</wp:posOffset>
          </wp:positionV>
          <wp:extent cx="3183255" cy="862330"/>
          <wp:effectExtent l="0" t="0" r="0" b="0"/>
          <wp:wrapTight wrapText="bothSides">
            <wp:wrapPolygon edited="0">
              <wp:start x="0" y="0"/>
              <wp:lineTo x="0" y="20996"/>
              <wp:lineTo x="21458" y="20996"/>
              <wp:lineTo x="214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8623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E269" w14:textId="2F4351F5" w:rsidR="00FD2488" w:rsidRDefault="003F4336">
    <w:pPr>
      <w:pStyle w:val="Header"/>
    </w:pPr>
    <w:r>
      <w:rPr>
        <w:noProof/>
      </w:rPr>
      <w:drawing>
        <wp:anchor distT="0" distB="0" distL="114300" distR="114300" simplePos="0" relativeHeight="251670528" behindDoc="1" locked="0" layoutInCell="1" allowOverlap="1" wp14:anchorId="44ABF7D9" wp14:editId="379C4CB8">
          <wp:simplePos x="0" y="0"/>
          <wp:positionH relativeFrom="column">
            <wp:posOffset>6163094</wp:posOffset>
          </wp:positionH>
          <wp:positionV relativeFrom="paragraph">
            <wp:posOffset>224479</wp:posOffset>
          </wp:positionV>
          <wp:extent cx="3183255" cy="862330"/>
          <wp:effectExtent l="0" t="0" r="0" b="0"/>
          <wp:wrapTight wrapText="bothSides">
            <wp:wrapPolygon edited="0">
              <wp:start x="0" y="0"/>
              <wp:lineTo x="0" y="20996"/>
              <wp:lineTo x="21458" y="20996"/>
              <wp:lineTo x="2145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8623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927B" w14:textId="77777777" w:rsidR="00AA014B" w:rsidRDefault="00AA014B">
    <w:pPr>
      <w:pStyle w:val="Header"/>
    </w:pPr>
    <w:r>
      <w:rPr>
        <w:noProof/>
      </w:rPr>
      <w:drawing>
        <wp:anchor distT="0" distB="0" distL="114300" distR="114300" simplePos="0" relativeHeight="251672576" behindDoc="1" locked="0" layoutInCell="1" allowOverlap="1" wp14:anchorId="08813CCC" wp14:editId="33CA8421">
          <wp:simplePos x="0" y="0"/>
          <wp:positionH relativeFrom="column">
            <wp:posOffset>3221067</wp:posOffset>
          </wp:positionH>
          <wp:positionV relativeFrom="paragraph">
            <wp:posOffset>224155</wp:posOffset>
          </wp:positionV>
          <wp:extent cx="3183255" cy="862330"/>
          <wp:effectExtent l="0" t="0" r="0" b="0"/>
          <wp:wrapTight wrapText="bothSides">
            <wp:wrapPolygon edited="0">
              <wp:start x="0" y="0"/>
              <wp:lineTo x="0" y="20996"/>
              <wp:lineTo x="21458" y="20996"/>
              <wp:lineTo x="2145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8623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B57E2072"/>
    <w:lvl w:ilvl="0">
      <w:start w:val="1"/>
      <w:numFmt w:val="decimal"/>
      <w:pStyle w:val="Heading1"/>
      <w:lvlText w:val="%1."/>
      <w:lvlJc w:val="left"/>
      <w:pPr>
        <w:ind w:left="686" w:hanging="567"/>
      </w:pPr>
      <w:rPr>
        <w:rFonts w:ascii="Calibri" w:hAnsi="Calibri" w:cs="Calibri"/>
        <w:b/>
        <w:bCs/>
        <w:color w:val="auto"/>
        <w:spacing w:val="-1"/>
        <w:w w:val="100"/>
        <w:sz w:val="28"/>
        <w:szCs w:val="28"/>
      </w:rPr>
    </w:lvl>
    <w:lvl w:ilvl="1">
      <w:numFmt w:val="bullet"/>
      <w:lvlText w:val=""/>
      <w:lvlJc w:val="left"/>
      <w:pPr>
        <w:ind w:left="832" w:hanging="356"/>
      </w:pPr>
      <w:rPr>
        <w:rFonts w:ascii="Symbol" w:hAnsi="Symbol" w:cs="Symbol"/>
        <w:b w:val="0"/>
        <w:bCs w:val="0"/>
        <w:w w:val="100"/>
        <w:sz w:val="22"/>
        <w:szCs w:val="22"/>
      </w:rPr>
    </w:lvl>
    <w:lvl w:ilvl="2">
      <w:numFmt w:val="bullet"/>
      <w:lvlText w:val="•"/>
      <w:lvlJc w:val="left"/>
      <w:pPr>
        <w:ind w:left="1851" w:hanging="356"/>
      </w:pPr>
    </w:lvl>
    <w:lvl w:ilvl="3">
      <w:numFmt w:val="bullet"/>
      <w:lvlText w:val="•"/>
      <w:lvlJc w:val="left"/>
      <w:pPr>
        <w:ind w:left="2863" w:hanging="356"/>
      </w:pPr>
    </w:lvl>
    <w:lvl w:ilvl="4">
      <w:numFmt w:val="bullet"/>
      <w:lvlText w:val="•"/>
      <w:lvlJc w:val="left"/>
      <w:pPr>
        <w:ind w:left="3875" w:hanging="356"/>
      </w:pPr>
    </w:lvl>
    <w:lvl w:ilvl="5">
      <w:numFmt w:val="bullet"/>
      <w:lvlText w:val="•"/>
      <w:lvlJc w:val="left"/>
      <w:pPr>
        <w:ind w:left="4887" w:hanging="356"/>
      </w:pPr>
    </w:lvl>
    <w:lvl w:ilvl="6">
      <w:numFmt w:val="bullet"/>
      <w:lvlText w:val="•"/>
      <w:lvlJc w:val="left"/>
      <w:pPr>
        <w:ind w:left="5899" w:hanging="356"/>
      </w:pPr>
    </w:lvl>
    <w:lvl w:ilvl="7">
      <w:numFmt w:val="bullet"/>
      <w:lvlText w:val="•"/>
      <w:lvlJc w:val="left"/>
      <w:pPr>
        <w:ind w:left="6910" w:hanging="356"/>
      </w:pPr>
    </w:lvl>
    <w:lvl w:ilvl="8">
      <w:numFmt w:val="bullet"/>
      <w:lvlText w:val="•"/>
      <w:lvlJc w:val="left"/>
      <w:pPr>
        <w:ind w:left="7922" w:hanging="356"/>
      </w:pPr>
    </w:lvl>
  </w:abstractNum>
  <w:abstractNum w:abstractNumId="1" w15:restartNumberingAfterBreak="0">
    <w:nsid w:val="00000403"/>
    <w:multiLevelType w:val="multilevel"/>
    <w:tmpl w:val="00000886"/>
    <w:lvl w:ilvl="0">
      <w:start w:val="1"/>
      <w:numFmt w:val="lowerLetter"/>
      <w:lvlText w:val="%1)"/>
      <w:lvlJc w:val="left"/>
      <w:pPr>
        <w:ind w:left="971" w:hanging="569"/>
      </w:pPr>
      <w:rPr>
        <w:rFonts w:ascii="Calibri" w:hAnsi="Calibri" w:cs="Calibri"/>
        <w:b w:val="0"/>
        <w:bCs w:val="0"/>
        <w:spacing w:val="-1"/>
        <w:w w:val="100"/>
        <w:sz w:val="22"/>
        <w:szCs w:val="22"/>
      </w:rPr>
    </w:lvl>
    <w:lvl w:ilvl="1">
      <w:numFmt w:val="bullet"/>
      <w:lvlText w:val="•"/>
      <w:lvlJc w:val="left"/>
      <w:pPr>
        <w:ind w:left="1878" w:hanging="569"/>
      </w:pPr>
    </w:lvl>
    <w:lvl w:ilvl="2">
      <w:numFmt w:val="bullet"/>
      <w:lvlText w:val="•"/>
      <w:lvlJc w:val="left"/>
      <w:pPr>
        <w:ind w:left="2777" w:hanging="569"/>
      </w:pPr>
    </w:lvl>
    <w:lvl w:ilvl="3">
      <w:numFmt w:val="bullet"/>
      <w:lvlText w:val="•"/>
      <w:lvlJc w:val="left"/>
      <w:pPr>
        <w:ind w:left="3675" w:hanging="569"/>
      </w:pPr>
    </w:lvl>
    <w:lvl w:ilvl="4">
      <w:numFmt w:val="bullet"/>
      <w:lvlText w:val="•"/>
      <w:lvlJc w:val="left"/>
      <w:pPr>
        <w:ind w:left="4574" w:hanging="569"/>
      </w:pPr>
    </w:lvl>
    <w:lvl w:ilvl="5">
      <w:numFmt w:val="bullet"/>
      <w:lvlText w:val="•"/>
      <w:lvlJc w:val="left"/>
      <w:pPr>
        <w:ind w:left="5473" w:hanging="569"/>
      </w:pPr>
    </w:lvl>
    <w:lvl w:ilvl="6">
      <w:numFmt w:val="bullet"/>
      <w:lvlText w:val="•"/>
      <w:lvlJc w:val="left"/>
      <w:pPr>
        <w:ind w:left="6371" w:hanging="569"/>
      </w:pPr>
    </w:lvl>
    <w:lvl w:ilvl="7">
      <w:numFmt w:val="bullet"/>
      <w:lvlText w:val="•"/>
      <w:lvlJc w:val="left"/>
      <w:pPr>
        <w:ind w:left="7270" w:hanging="569"/>
      </w:pPr>
    </w:lvl>
    <w:lvl w:ilvl="8">
      <w:numFmt w:val="bullet"/>
      <w:lvlText w:val="•"/>
      <w:lvlJc w:val="left"/>
      <w:pPr>
        <w:ind w:left="8169" w:hanging="569"/>
      </w:pPr>
    </w:lvl>
  </w:abstractNum>
  <w:abstractNum w:abstractNumId="2" w15:restartNumberingAfterBreak="0">
    <w:nsid w:val="00000404"/>
    <w:multiLevelType w:val="multilevel"/>
    <w:tmpl w:val="00000887"/>
    <w:lvl w:ilvl="0">
      <w:start w:val="2"/>
      <w:numFmt w:val="lowerLetter"/>
      <w:lvlText w:val="%1)"/>
      <w:lvlJc w:val="left"/>
      <w:pPr>
        <w:ind w:left="971" w:hanging="569"/>
      </w:pPr>
      <w:rPr>
        <w:rFonts w:ascii="Calibri" w:hAnsi="Calibri" w:cs="Calibri"/>
        <w:b w:val="0"/>
        <w:bCs w:val="0"/>
        <w:spacing w:val="-1"/>
        <w:w w:val="100"/>
        <w:sz w:val="22"/>
        <w:szCs w:val="22"/>
      </w:rPr>
    </w:lvl>
    <w:lvl w:ilvl="1">
      <w:numFmt w:val="bullet"/>
      <w:lvlText w:val="•"/>
      <w:lvlJc w:val="left"/>
      <w:pPr>
        <w:ind w:left="1878" w:hanging="569"/>
      </w:pPr>
    </w:lvl>
    <w:lvl w:ilvl="2">
      <w:numFmt w:val="bullet"/>
      <w:lvlText w:val="•"/>
      <w:lvlJc w:val="left"/>
      <w:pPr>
        <w:ind w:left="2777" w:hanging="569"/>
      </w:pPr>
    </w:lvl>
    <w:lvl w:ilvl="3">
      <w:numFmt w:val="bullet"/>
      <w:lvlText w:val="•"/>
      <w:lvlJc w:val="left"/>
      <w:pPr>
        <w:ind w:left="3675" w:hanging="569"/>
      </w:pPr>
    </w:lvl>
    <w:lvl w:ilvl="4">
      <w:numFmt w:val="bullet"/>
      <w:lvlText w:val="•"/>
      <w:lvlJc w:val="left"/>
      <w:pPr>
        <w:ind w:left="4574" w:hanging="569"/>
      </w:pPr>
    </w:lvl>
    <w:lvl w:ilvl="5">
      <w:numFmt w:val="bullet"/>
      <w:lvlText w:val="•"/>
      <w:lvlJc w:val="left"/>
      <w:pPr>
        <w:ind w:left="5473" w:hanging="569"/>
      </w:pPr>
    </w:lvl>
    <w:lvl w:ilvl="6">
      <w:numFmt w:val="bullet"/>
      <w:lvlText w:val="•"/>
      <w:lvlJc w:val="left"/>
      <w:pPr>
        <w:ind w:left="6371" w:hanging="569"/>
      </w:pPr>
    </w:lvl>
    <w:lvl w:ilvl="7">
      <w:numFmt w:val="bullet"/>
      <w:lvlText w:val="•"/>
      <w:lvlJc w:val="left"/>
      <w:pPr>
        <w:ind w:left="7270" w:hanging="569"/>
      </w:pPr>
    </w:lvl>
    <w:lvl w:ilvl="8">
      <w:numFmt w:val="bullet"/>
      <w:lvlText w:val="•"/>
      <w:lvlJc w:val="left"/>
      <w:pPr>
        <w:ind w:left="8169" w:hanging="569"/>
      </w:pPr>
    </w:lvl>
  </w:abstractNum>
  <w:abstractNum w:abstractNumId="3" w15:restartNumberingAfterBreak="0">
    <w:nsid w:val="00000405"/>
    <w:multiLevelType w:val="multilevel"/>
    <w:tmpl w:val="00000888"/>
    <w:lvl w:ilvl="0">
      <w:start w:val="2"/>
      <w:numFmt w:val="lowerLetter"/>
      <w:lvlText w:val="%1)"/>
      <w:lvlJc w:val="left"/>
      <w:pPr>
        <w:ind w:left="971" w:hanging="569"/>
      </w:pPr>
      <w:rPr>
        <w:rFonts w:ascii="Calibri" w:hAnsi="Calibri" w:cs="Calibri"/>
        <w:b w:val="0"/>
        <w:bCs w:val="0"/>
        <w:spacing w:val="-2"/>
        <w:w w:val="100"/>
        <w:sz w:val="22"/>
        <w:szCs w:val="22"/>
      </w:rPr>
    </w:lvl>
    <w:lvl w:ilvl="1">
      <w:numFmt w:val="bullet"/>
      <w:lvlText w:val="•"/>
      <w:lvlJc w:val="left"/>
      <w:pPr>
        <w:ind w:left="1878" w:hanging="569"/>
      </w:pPr>
    </w:lvl>
    <w:lvl w:ilvl="2">
      <w:numFmt w:val="bullet"/>
      <w:lvlText w:val="•"/>
      <w:lvlJc w:val="left"/>
      <w:pPr>
        <w:ind w:left="2777" w:hanging="569"/>
      </w:pPr>
    </w:lvl>
    <w:lvl w:ilvl="3">
      <w:numFmt w:val="bullet"/>
      <w:lvlText w:val="•"/>
      <w:lvlJc w:val="left"/>
      <w:pPr>
        <w:ind w:left="3675" w:hanging="569"/>
      </w:pPr>
    </w:lvl>
    <w:lvl w:ilvl="4">
      <w:numFmt w:val="bullet"/>
      <w:lvlText w:val="•"/>
      <w:lvlJc w:val="left"/>
      <w:pPr>
        <w:ind w:left="4574" w:hanging="569"/>
      </w:pPr>
    </w:lvl>
    <w:lvl w:ilvl="5">
      <w:numFmt w:val="bullet"/>
      <w:lvlText w:val="•"/>
      <w:lvlJc w:val="left"/>
      <w:pPr>
        <w:ind w:left="5473" w:hanging="569"/>
      </w:pPr>
    </w:lvl>
    <w:lvl w:ilvl="6">
      <w:numFmt w:val="bullet"/>
      <w:lvlText w:val="•"/>
      <w:lvlJc w:val="left"/>
      <w:pPr>
        <w:ind w:left="6371" w:hanging="569"/>
      </w:pPr>
    </w:lvl>
    <w:lvl w:ilvl="7">
      <w:numFmt w:val="bullet"/>
      <w:lvlText w:val="•"/>
      <w:lvlJc w:val="left"/>
      <w:pPr>
        <w:ind w:left="7270" w:hanging="569"/>
      </w:pPr>
    </w:lvl>
    <w:lvl w:ilvl="8">
      <w:numFmt w:val="bullet"/>
      <w:lvlText w:val="•"/>
      <w:lvlJc w:val="left"/>
      <w:pPr>
        <w:ind w:left="8169" w:hanging="569"/>
      </w:pPr>
    </w:lvl>
  </w:abstractNum>
  <w:abstractNum w:abstractNumId="4" w15:restartNumberingAfterBreak="0">
    <w:nsid w:val="00000406"/>
    <w:multiLevelType w:val="multilevel"/>
    <w:tmpl w:val="00000889"/>
    <w:lvl w:ilvl="0">
      <w:start w:val="2"/>
      <w:numFmt w:val="lowerLetter"/>
      <w:lvlText w:val="%1)"/>
      <w:lvlJc w:val="left"/>
      <w:pPr>
        <w:ind w:left="971" w:hanging="569"/>
      </w:pPr>
      <w:rPr>
        <w:rFonts w:ascii="Calibri" w:hAnsi="Calibri" w:cs="Calibri"/>
        <w:b w:val="0"/>
        <w:bCs w:val="0"/>
        <w:spacing w:val="-1"/>
        <w:w w:val="100"/>
        <w:sz w:val="22"/>
        <w:szCs w:val="22"/>
      </w:rPr>
    </w:lvl>
    <w:lvl w:ilvl="1">
      <w:numFmt w:val="bullet"/>
      <w:lvlText w:val="•"/>
      <w:lvlJc w:val="left"/>
      <w:pPr>
        <w:ind w:left="1878" w:hanging="569"/>
      </w:pPr>
    </w:lvl>
    <w:lvl w:ilvl="2">
      <w:numFmt w:val="bullet"/>
      <w:lvlText w:val="•"/>
      <w:lvlJc w:val="left"/>
      <w:pPr>
        <w:ind w:left="2777" w:hanging="569"/>
      </w:pPr>
    </w:lvl>
    <w:lvl w:ilvl="3">
      <w:numFmt w:val="bullet"/>
      <w:lvlText w:val="•"/>
      <w:lvlJc w:val="left"/>
      <w:pPr>
        <w:ind w:left="3675" w:hanging="569"/>
      </w:pPr>
    </w:lvl>
    <w:lvl w:ilvl="4">
      <w:numFmt w:val="bullet"/>
      <w:lvlText w:val="•"/>
      <w:lvlJc w:val="left"/>
      <w:pPr>
        <w:ind w:left="4574" w:hanging="569"/>
      </w:pPr>
    </w:lvl>
    <w:lvl w:ilvl="5">
      <w:numFmt w:val="bullet"/>
      <w:lvlText w:val="•"/>
      <w:lvlJc w:val="left"/>
      <w:pPr>
        <w:ind w:left="5473" w:hanging="569"/>
      </w:pPr>
    </w:lvl>
    <w:lvl w:ilvl="6">
      <w:numFmt w:val="bullet"/>
      <w:lvlText w:val="•"/>
      <w:lvlJc w:val="left"/>
      <w:pPr>
        <w:ind w:left="6371" w:hanging="569"/>
      </w:pPr>
    </w:lvl>
    <w:lvl w:ilvl="7">
      <w:numFmt w:val="bullet"/>
      <w:lvlText w:val="•"/>
      <w:lvlJc w:val="left"/>
      <w:pPr>
        <w:ind w:left="7270" w:hanging="569"/>
      </w:pPr>
    </w:lvl>
    <w:lvl w:ilvl="8">
      <w:numFmt w:val="bullet"/>
      <w:lvlText w:val="•"/>
      <w:lvlJc w:val="left"/>
      <w:pPr>
        <w:ind w:left="8169" w:hanging="569"/>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CB"/>
    <w:rsid w:val="0001234D"/>
    <w:rsid w:val="00043028"/>
    <w:rsid w:val="00094A42"/>
    <w:rsid w:val="000B3706"/>
    <w:rsid w:val="000C4CC8"/>
    <w:rsid w:val="000C5FCA"/>
    <w:rsid w:val="000D6610"/>
    <w:rsid w:val="000E7D71"/>
    <w:rsid w:val="000F7E31"/>
    <w:rsid w:val="00185836"/>
    <w:rsid w:val="001A2A81"/>
    <w:rsid w:val="001B40BD"/>
    <w:rsid w:val="001B4670"/>
    <w:rsid w:val="001C5391"/>
    <w:rsid w:val="001E08F2"/>
    <w:rsid w:val="00243D4F"/>
    <w:rsid w:val="00280F4B"/>
    <w:rsid w:val="00283999"/>
    <w:rsid w:val="002B1DC2"/>
    <w:rsid w:val="002B53C7"/>
    <w:rsid w:val="002D13E9"/>
    <w:rsid w:val="002D25BE"/>
    <w:rsid w:val="002E0064"/>
    <w:rsid w:val="002F0435"/>
    <w:rsid w:val="003018FF"/>
    <w:rsid w:val="00316BD8"/>
    <w:rsid w:val="0032706B"/>
    <w:rsid w:val="00337F39"/>
    <w:rsid w:val="003635B3"/>
    <w:rsid w:val="003D2575"/>
    <w:rsid w:val="003F2FA7"/>
    <w:rsid w:val="003F4336"/>
    <w:rsid w:val="00471FCA"/>
    <w:rsid w:val="004B40B7"/>
    <w:rsid w:val="004D43C1"/>
    <w:rsid w:val="004D6B69"/>
    <w:rsid w:val="004E0E0F"/>
    <w:rsid w:val="00505C09"/>
    <w:rsid w:val="00535085"/>
    <w:rsid w:val="005F220F"/>
    <w:rsid w:val="0063645F"/>
    <w:rsid w:val="00655944"/>
    <w:rsid w:val="006733DD"/>
    <w:rsid w:val="006C3894"/>
    <w:rsid w:val="006E203D"/>
    <w:rsid w:val="00737D14"/>
    <w:rsid w:val="007538D0"/>
    <w:rsid w:val="00773ADB"/>
    <w:rsid w:val="007962CB"/>
    <w:rsid w:val="007D50AD"/>
    <w:rsid w:val="007F46FC"/>
    <w:rsid w:val="00877FDA"/>
    <w:rsid w:val="008D5810"/>
    <w:rsid w:val="008E05C5"/>
    <w:rsid w:val="00903062"/>
    <w:rsid w:val="009105FD"/>
    <w:rsid w:val="00942B83"/>
    <w:rsid w:val="009F368D"/>
    <w:rsid w:val="00A340A3"/>
    <w:rsid w:val="00AA014B"/>
    <w:rsid w:val="00B2732F"/>
    <w:rsid w:val="00B50101"/>
    <w:rsid w:val="00B66F42"/>
    <w:rsid w:val="00B91F30"/>
    <w:rsid w:val="00BA126A"/>
    <w:rsid w:val="00BB3195"/>
    <w:rsid w:val="00BD1190"/>
    <w:rsid w:val="00BF4E39"/>
    <w:rsid w:val="00C74FA3"/>
    <w:rsid w:val="00C8135F"/>
    <w:rsid w:val="00CB5B72"/>
    <w:rsid w:val="00CC0542"/>
    <w:rsid w:val="00CE4E28"/>
    <w:rsid w:val="00CE5F82"/>
    <w:rsid w:val="00CF1332"/>
    <w:rsid w:val="00D20D6C"/>
    <w:rsid w:val="00D37869"/>
    <w:rsid w:val="00D57F4D"/>
    <w:rsid w:val="00DF3D69"/>
    <w:rsid w:val="00E2264E"/>
    <w:rsid w:val="00E24F0A"/>
    <w:rsid w:val="00E3032F"/>
    <w:rsid w:val="00E4431E"/>
    <w:rsid w:val="00E63072"/>
    <w:rsid w:val="00E86A64"/>
    <w:rsid w:val="00ED07A4"/>
    <w:rsid w:val="00ED47D6"/>
    <w:rsid w:val="00EE1AFD"/>
    <w:rsid w:val="00F4383B"/>
    <w:rsid w:val="00F44799"/>
    <w:rsid w:val="00F922A8"/>
    <w:rsid w:val="00FD2488"/>
    <w:rsid w:val="00FF5F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E45DAD"/>
  <w14:defaultImageDpi w14:val="96"/>
  <w15:docId w15:val="{D733C5A2-5BB1-4AD3-928B-AC61C747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126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2B53C7"/>
    <w:pPr>
      <w:numPr>
        <w:numId w:val="5"/>
      </w:numPr>
      <w:tabs>
        <w:tab w:val="left" w:pos="687"/>
      </w:tabs>
      <w:kinsoku w:val="0"/>
      <w:overflowPunct w:val="0"/>
      <w:spacing w:before="44"/>
      <w:outlineLvl w:val="0"/>
    </w:pPr>
    <w:rPr>
      <w:rFonts w:ascii="Calibri" w:hAnsi="Calibri" w:cs="Calibri"/>
      <w:b/>
      <w:bCs/>
      <w:sz w:val="28"/>
      <w:szCs w:val="28"/>
    </w:rPr>
  </w:style>
  <w:style w:type="paragraph" w:styleId="Heading2">
    <w:name w:val="heading 2"/>
    <w:basedOn w:val="Normal"/>
    <w:next w:val="Normal"/>
    <w:link w:val="Heading2Char"/>
    <w:uiPriority w:val="1"/>
    <w:qFormat/>
    <w:pPr>
      <w:ind w:left="2797"/>
      <w:outlineLvl w:val="1"/>
    </w:pPr>
    <w:rPr>
      <w:rFonts w:ascii="Verdana" w:hAnsi="Verdana" w:cs="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Calibri" w:hAnsi="Calibri" w:cs="Calibri"/>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1"/>
    <w:rsid w:val="002B53C7"/>
    <w:rPr>
      <w:rFonts w:ascii="Calibri" w:hAnsi="Calibri" w:cs="Calibri"/>
      <w:b/>
      <w:bCs/>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62CB"/>
    <w:pPr>
      <w:tabs>
        <w:tab w:val="center" w:pos="4513"/>
        <w:tab w:val="right" w:pos="9026"/>
      </w:tabs>
    </w:pPr>
  </w:style>
  <w:style w:type="character" w:customStyle="1" w:styleId="HeaderChar">
    <w:name w:val="Header Char"/>
    <w:basedOn w:val="DefaultParagraphFont"/>
    <w:link w:val="Header"/>
    <w:uiPriority w:val="99"/>
    <w:rsid w:val="007962CB"/>
    <w:rPr>
      <w:rFonts w:ascii="Times New Roman" w:hAnsi="Times New Roman" w:cs="Times New Roman"/>
      <w:sz w:val="24"/>
      <w:szCs w:val="24"/>
    </w:rPr>
  </w:style>
  <w:style w:type="paragraph" w:styleId="Footer">
    <w:name w:val="footer"/>
    <w:basedOn w:val="Normal"/>
    <w:link w:val="FooterChar"/>
    <w:uiPriority w:val="99"/>
    <w:unhideWhenUsed/>
    <w:rsid w:val="007962CB"/>
    <w:pPr>
      <w:tabs>
        <w:tab w:val="center" w:pos="4513"/>
        <w:tab w:val="right" w:pos="9026"/>
      </w:tabs>
    </w:pPr>
  </w:style>
  <w:style w:type="character" w:customStyle="1" w:styleId="FooterChar">
    <w:name w:val="Footer Char"/>
    <w:basedOn w:val="DefaultParagraphFont"/>
    <w:link w:val="Footer"/>
    <w:uiPriority w:val="99"/>
    <w:rsid w:val="007962C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F2FA7"/>
    <w:rPr>
      <w:rFonts w:ascii="Tahoma" w:hAnsi="Tahoma" w:cs="Tahoma"/>
      <w:sz w:val="16"/>
      <w:szCs w:val="16"/>
    </w:rPr>
  </w:style>
  <w:style w:type="character" w:customStyle="1" w:styleId="BalloonTextChar">
    <w:name w:val="Balloon Text Char"/>
    <w:basedOn w:val="DefaultParagraphFont"/>
    <w:link w:val="BalloonText"/>
    <w:uiPriority w:val="99"/>
    <w:semiHidden/>
    <w:rsid w:val="003F2FA7"/>
    <w:rPr>
      <w:rFonts w:ascii="Tahoma" w:hAnsi="Tahoma" w:cs="Tahoma"/>
      <w:sz w:val="16"/>
      <w:szCs w:val="16"/>
    </w:rPr>
  </w:style>
  <w:style w:type="character" w:styleId="CommentReference">
    <w:name w:val="annotation reference"/>
    <w:basedOn w:val="DefaultParagraphFont"/>
    <w:uiPriority w:val="99"/>
    <w:semiHidden/>
    <w:unhideWhenUsed/>
    <w:rsid w:val="00471FCA"/>
    <w:rPr>
      <w:sz w:val="16"/>
      <w:szCs w:val="16"/>
    </w:rPr>
  </w:style>
  <w:style w:type="paragraph" w:styleId="CommentText">
    <w:name w:val="annotation text"/>
    <w:basedOn w:val="Normal"/>
    <w:link w:val="CommentTextChar"/>
    <w:uiPriority w:val="99"/>
    <w:semiHidden/>
    <w:unhideWhenUsed/>
    <w:rsid w:val="00471FCA"/>
    <w:rPr>
      <w:sz w:val="20"/>
      <w:szCs w:val="20"/>
    </w:rPr>
  </w:style>
  <w:style w:type="character" w:customStyle="1" w:styleId="CommentTextChar">
    <w:name w:val="Comment Text Char"/>
    <w:basedOn w:val="DefaultParagraphFont"/>
    <w:link w:val="CommentText"/>
    <w:uiPriority w:val="99"/>
    <w:semiHidden/>
    <w:rsid w:val="00471F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1FCA"/>
    <w:rPr>
      <w:b/>
      <w:bCs/>
    </w:rPr>
  </w:style>
  <w:style w:type="character" w:customStyle="1" w:styleId="CommentSubjectChar">
    <w:name w:val="Comment Subject Char"/>
    <w:basedOn w:val="CommentTextChar"/>
    <w:link w:val="CommentSubject"/>
    <w:uiPriority w:val="99"/>
    <w:semiHidden/>
    <w:rsid w:val="00471FCA"/>
    <w:rPr>
      <w:rFonts w:ascii="Times New Roman" w:hAnsi="Times New Roman" w:cs="Times New Roman"/>
      <w:b/>
      <w:bCs/>
      <w:sz w:val="20"/>
      <w:szCs w:val="20"/>
    </w:rPr>
  </w:style>
  <w:style w:type="paragraph" w:styleId="NormalWeb">
    <w:name w:val="Normal (Web)"/>
    <w:basedOn w:val="Normal"/>
    <w:uiPriority w:val="99"/>
    <w:semiHidden/>
    <w:unhideWhenUsed/>
    <w:rsid w:val="00877FDA"/>
    <w:pPr>
      <w:widowControl/>
      <w:autoSpaceDE/>
      <w:autoSpaceDN/>
      <w:adjustRightInd/>
      <w:spacing w:before="100" w:beforeAutospacing="1" w:after="100" w:afterAutospacing="1"/>
    </w:pPr>
    <w:rPr>
      <w:rFonts w:eastAsia="Times New Roman"/>
      <w:lang w:eastAsia="en-GB"/>
    </w:rPr>
  </w:style>
  <w:style w:type="table" w:styleId="TableGrid">
    <w:name w:val="Table Grid"/>
    <w:basedOn w:val="TableNormal"/>
    <w:uiPriority w:val="59"/>
    <w:rsid w:val="00CB5B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A909E2E42774DAA089626C677EE43" ma:contentTypeVersion="12" ma:contentTypeDescription="Create a new document." ma:contentTypeScope="" ma:versionID="4dd237a261bf3362b00626c90ff0dbc3">
  <xsd:schema xmlns:xsd="http://www.w3.org/2001/XMLSchema" xmlns:xs="http://www.w3.org/2001/XMLSchema" xmlns:p="http://schemas.microsoft.com/office/2006/metadata/properties" xmlns:ns2="05bdfc4c-7396-45d5-b216-66ceaf48e0c6" xmlns:ns3="86b8e6ed-a385-4630-b3cf-5957e47b195e" targetNamespace="http://schemas.microsoft.com/office/2006/metadata/properties" ma:root="true" ma:fieldsID="fc46fa997d8d31e741938b090e3ead03" ns2:_="" ns3:_="">
    <xsd:import namespace="05bdfc4c-7396-45d5-b216-66ceaf48e0c6"/>
    <xsd:import namespace="86b8e6ed-a385-4630-b3cf-5957e47b1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dfc4c-7396-45d5-b216-66ceaf48e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8e6ed-a385-4630-b3cf-5957e47b19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9D2DC-846E-48C0-A1DC-68DF13CE12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E4B86E-DE5E-4632-8E82-4383686B4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dfc4c-7396-45d5-b216-66ceaf48e0c6"/>
    <ds:schemaRef ds:uri="86b8e6ed-a385-4630-b3cf-5957e47b1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1617F-6515-4314-8E84-3C76BB3A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1647</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AFB Group Services (Jersey) Limited</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Anliker</dc:creator>
  <cp:lastModifiedBy>Philip Harris</cp:lastModifiedBy>
  <cp:revision>65</cp:revision>
  <dcterms:created xsi:type="dcterms:W3CDTF">2019-11-21T15:08:00Z</dcterms:created>
  <dcterms:modified xsi:type="dcterms:W3CDTF">2020-03-13T15:02:00Z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0x01010066DA909E2E42774DAA089626C677EE43</vt:lpwstr>
  </property>
</Properties>
</file>